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001295" w:rsidP="00001295">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617D5D">
        <w:rPr>
          <w:rFonts w:ascii="Arial" w:hAnsi="Arial" w:cs="Arial"/>
          <w:b/>
          <w:sz w:val="24"/>
        </w:rPr>
        <w:t>Corporate</w:t>
      </w:r>
      <w:r w:rsidR="004D1085">
        <w:rPr>
          <w:rFonts w:ascii="Arial" w:hAnsi="Arial" w:cs="Arial"/>
          <w:b/>
          <w:sz w:val="24"/>
        </w:rPr>
        <w:t xml:space="preserve"> Assurance </w:t>
      </w:r>
      <w:r>
        <w:rPr>
          <w:rFonts w:ascii="Arial" w:hAnsi="Arial" w:cs="Arial"/>
          <w:b/>
          <w:sz w:val="24"/>
        </w:rPr>
        <w:t>Manager</w:t>
      </w:r>
    </w:p>
    <w:p w:rsidR="00001295" w:rsidRDefault="00001295" w:rsidP="00001295">
      <w:pPr>
        <w:pBdr>
          <w:bottom w:val="single" w:sz="12" w:space="1" w:color="auto"/>
        </w:pBdr>
        <w:jc w:val="center"/>
        <w:rPr>
          <w:rFonts w:ascii="Arial" w:hAnsi="Arial" w:cs="Arial"/>
          <w:b/>
          <w:sz w:val="24"/>
        </w:rPr>
      </w:pPr>
      <w:r>
        <w:rPr>
          <w:rFonts w:ascii="Arial" w:hAnsi="Arial" w:cs="Arial"/>
          <w:b/>
          <w:sz w:val="24"/>
        </w:rPr>
        <w:t>To</w:t>
      </w:r>
    </w:p>
    <w:p w:rsidR="00001295" w:rsidRDefault="00962030" w:rsidP="00001295">
      <w:pPr>
        <w:pBdr>
          <w:bottom w:val="single" w:sz="12" w:space="1" w:color="auto"/>
        </w:pBdr>
        <w:jc w:val="center"/>
        <w:rPr>
          <w:rFonts w:ascii="Arial" w:hAnsi="Arial" w:cs="Arial"/>
          <w:b/>
          <w:sz w:val="24"/>
        </w:rPr>
      </w:pPr>
      <w:r>
        <w:rPr>
          <w:rFonts w:ascii="Arial" w:hAnsi="Arial" w:cs="Arial"/>
          <w:b/>
          <w:sz w:val="24"/>
        </w:rPr>
        <w:t xml:space="preserve">GOVERNANCE AND </w:t>
      </w:r>
      <w:r w:rsidR="00B847B7">
        <w:rPr>
          <w:rFonts w:ascii="Arial" w:hAnsi="Arial" w:cs="Arial"/>
          <w:b/>
          <w:sz w:val="24"/>
        </w:rPr>
        <w:t>STANDARDS</w:t>
      </w:r>
      <w:r w:rsidR="00E52E61">
        <w:rPr>
          <w:rFonts w:ascii="Arial" w:hAnsi="Arial" w:cs="Arial"/>
          <w:b/>
          <w:sz w:val="24"/>
        </w:rPr>
        <w:t xml:space="preserve"> COMMITTEE</w:t>
      </w:r>
    </w:p>
    <w:p w:rsidR="00001295" w:rsidRDefault="00001295" w:rsidP="00001295">
      <w:pPr>
        <w:pBdr>
          <w:bottom w:val="single" w:sz="12" w:space="1" w:color="auto"/>
        </w:pBdr>
        <w:jc w:val="center"/>
        <w:rPr>
          <w:rFonts w:ascii="Arial" w:hAnsi="Arial" w:cs="Arial"/>
          <w:b/>
          <w:sz w:val="24"/>
        </w:rPr>
      </w:pPr>
      <w:r>
        <w:rPr>
          <w:rFonts w:ascii="Arial" w:hAnsi="Arial" w:cs="Arial"/>
          <w:b/>
          <w:sz w:val="24"/>
        </w:rPr>
        <w:t>On</w:t>
      </w:r>
    </w:p>
    <w:p w:rsidR="00001295" w:rsidRDefault="009349E0" w:rsidP="00001295">
      <w:pPr>
        <w:pBdr>
          <w:bottom w:val="single" w:sz="12" w:space="1" w:color="auto"/>
        </w:pBdr>
        <w:jc w:val="center"/>
        <w:rPr>
          <w:rFonts w:ascii="Arial" w:hAnsi="Arial" w:cs="Arial"/>
          <w:b/>
          <w:sz w:val="24"/>
        </w:rPr>
      </w:pPr>
      <w:r>
        <w:rPr>
          <w:rFonts w:ascii="Arial" w:hAnsi="Arial" w:cs="Arial"/>
          <w:b/>
          <w:sz w:val="24"/>
        </w:rPr>
        <w:t xml:space="preserve"> </w:t>
      </w:r>
      <w:r w:rsidR="00B847B7">
        <w:rPr>
          <w:rFonts w:ascii="Arial" w:hAnsi="Arial" w:cs="Arial"/>
          <w:b/>
          <w:sz w:val="24"/>
        </w:rPr>
        <w:t>23</w:t>
      </w:r>
      <w:r w:rsidR="008A724E">
        <w:rPr>
          <w:rFonts w:ascii="Arial" w:hAnsi="Arial" w:cs="Arial"/>
          <w:b/>
          <w:sz w:val="24"/>
        </w:rPr>
        <w:t xml:space="preserve"> </w:t>
      </w:r>
      <w:r w:rsidR="001D23E8">
        <w:rPr>
          <w:rFonts w:ascii="Arial" w:hAnsi="Arial" w:cs="Arial"/>
          <w:b/>
          <w:sz w:val="24"/>
        </w:rPr>
        <w:t>Ju</w:t>
      </w:r>
      <w:r w:rsidR="00B847B7">
        <w:rPr>
          <w:rFonts w:ascii="Arial" w:hAnsi="Arial" w:cs="Arial"/>
          <w:b/>
          <w:sz w:val="24"/>
        </w:rPr>
        <w:t>ne</w:t>
      </w:r>
      <w:r w:rsidR="00E52E61">
        <w:rPr>
          <w:rFonts w:ascii="Arial" w:hAnsi="Arial" w:cs="Arial"/>
          <w:b/>
          <w:sz w:val="24"/>
        </w:rPr>
        <w:t>, 20</w:t>
      </w:r>
      <w:r w:rsidR="0046268A">
        <w:rPr>
          <w:rFonts w:ascii="Arial" w:hAnsi="Arial" w:cs="Arial"/>
          <w:b/>
          <w:sz w:val="24"/>
        </w:rPr>
        <w:t>2</w:t>
      </w:r>
      <w:r w:rsidR="00B847B7">
        <w:rPr>
          <w:rFonts w:ascii="Arial" w:hAnsi="Arial" w:cs="Arial"/>
          <w:b/>
          <w:sz w:val="24"/>
        </w:rPr>
        <w:t>1</w:t>
      </w:r>
    </w:p>
    <w:p w:rsidR="00001295" w:rsidRPr="00035950" w:rsidRDefault="00001295">
      <w:pPr>
        <w:pBdr>
          <w:bottom w:val="single" w:sz="12" w:space="1" w:color="auto"/>
        </w:pBdr>
        <w:rPr>
          <w:rFonts w:ascii="Arial" w:hAnsi="Arial" w:cs="Arial"/>
          <w:b/>
          <w:sz w:val="24"/>
        </w:rPr>
      </w:pPr>
    </w:p>
    <w:p w:rsidR="00C82946" w:rsidRDefault="00C82946">
      <w:pPr>
        <w:rPr>
          <w:b/>
          <w:sz w:val="24"/>
        </w:rPr>
      </w:pPr>
    </w:p>
    <w:p w:rsidR="00001295" w:rsidRPr="00001295" w:rsidRDefault="0046268A" w:rsidP="00EE1CFF">
      <w:pPr>
        <w:pStyle w:val="Heading1"/>
        <w:ind w:right="-270"/>
        <w:jc w:val="center"/>
        <w:rPr>
          <w:rFonts w:ascii="Arial" w:hAnsi="Arial" w:cs="Arial"/>
          <w:b/>
          <w:sz w:val="24"/>
          <w:szCs w:val="24"/>
          <w:u w:val="none"/>
        </w:rPr>
      </w:pPr>
      <w:r>
        <w:rPr>
          <w:rFonts w:ascii="Arial" w:hAnsi="Arial" w:cs="Arial"/>
          <w:b/>
          <w:sz w:val="24"/>
          <w:szCs w:val="24"/>
          <w:u w:val="none"/>
        </w:rPr>
        <w:t>CORPOR</w:t>
      </w:r>
      <w:r w:rsidR="00BD2ADD">
        <w:rPr>
          <w:rFonts w:ascii="Arial" w:hAnsi="Arial" w:cs="Arial"/>
          <w:b/>
          <w:sz w:val="24"/>
          <w:szCs w:val="24"/>
          <w:u w:val="none"/>
        </w:rPr>
        <w:t>A</w:t>
      </w:r>
      <w:r>
        <w:rPr>
          <w:rFonts w:ascii="Arial" w:hAnsi="Arial" w:cs="Arial"/>
          <w:b/>
          <w:sz w:val="24"/>
          <w:szCs w:val="24"/>
          <w:u w:val="none"/>
        </w:rPr>
        <w:t>TE</w:t>
      </w:r>
      <w:r w:rsidR="004D1085">
        <w:rPr>
          <w:rFonts w:ascii="Arial" w:hAnsi="Arial" w:cs="Arial"/>
          <w:b/>
          <w:sz w:val="24"/>
          <w:szCs w:val="24"/>
          <w:u w:val="none"/>
        </w:rPr>
        <w:t xml:space="preserve"> ASSURANCE</w:t>
      </w:r>
      <w:r w:rsidR="00E52E61">
        <w:rPr>
          <w:rFonts w:ascii="Arial" w:hAnsi="Arial" w:cs="Arial"/>
          <w:b/>
          <w:sz w:val="24"/>
          <w:szCs w:val="24"/>
          <w:u w:val="none"/>
        </w:rPr>
        <w:t xml:space="preserve"> </w:t>
      </w:r>
      <w:r w:rsidR="00EC27C5">
        <w:rPr>
          <w:rFonts w:ascii="Arial" w:hAnsi="Arial" w:cs="Arial"/>
          <w:b/>
          <w:sz w:val="24"/>
          <w:szCs w:val="24"/>
          <w:u w:val="none"/>
        </w:rPr>
        <w:t>MANAGER</w:t>
      </w:r>
      <w:r w:rsidR="00001295" w:rsidRPr="00001295">
        <w:rPr>
          <w:rFonts w:ascii="Arial" w:hAnsi="Arial" w:cs="Arial"/>
          <w:b/>
          <w:sz w:val="24"/>
          <w:szCs w:val="24"/>
          <w:u w:val="none"/>
        </w:rPr>
        <w:t xml:space="preserve"> – A</w:t>
      </w:r>
      <w:r w:rsidR="00E52E61">
        <w:rPr>
          <w:rFonts w:ascii="Arial" w:hAnsi="Arial" w:cs="Arial"/>
          <w:b/>
          <w:sz w:val="24"/>
          <w:szCs w:val="24"/>
          <w:u w:val="none"/>
        </w:rPr>
        <w:t>NNUAL</w:t>
      </w:r>
      <w:r w:rsidR="00001295" w:rsidRPr="00001295">
        <w:rPr>
          <w:rFonts w:ascii="Arial" w:hAnsi="Arial" w:cs="Arial"/>
          <w:b/>
          <w:sz w:val="24"/>
          <w:szCs w:val="24"/>
          <w:u w:val="none"/>
        </w:rPr>
        <w:t xml:space="preserve"> R</w:t>
      </w:r>
      <w:r w:rsidR="00E52E61">
        <w:rPr>
          <w:rFonts w:ascii="Arial" w:hAnsi="Arial" w:cs="Arial"/>
          <w:b/>
          <w:sz w:val="24"/>
          <w:szCs w:val="24"/>
          <w:u w:val="none"/>
        </w:rPr>
        <w:t>EPORT</w:t>
      </w:r>
      <w:r w:rsidR="00001295" w:rsidRPr="00001295">
        <w:rPr>
          <w:rFonts w:ascii="Arial" w:hAnsi="Arial" w:cs="Arial"/>
          <w:b/>
          <w:sz w:val="24"/>
          <w:szCs w:val="24"/>
          <w:u w:val="none"/>
        </w:rPr>
        <w:t xml:space="preserve"> </w:t>
      </w:r>
      <w:r w:rsidR="00E52E61">
        <w:rPr>
          <w:rFonts w:ascii="Arial" w:hAnsi="Arial" w:cs="Arial"/>
          <w:b/>
          <w:sz w:val="24"/>
          <w:szCs w:val="24"/>
          <w:u w:val="none"/>
        </w:rPr>
        <w:t>FOR</w:t>
      </w:r>
      <w:r w:rsidR="00001295" w:rsidRPr="00001295">
        <w:rPr>
          <w:rFonts w:ascii="Arial" w:hAnsi="Arial" w:cs="Arial"/>
          <w:b/>
          <w:sz w:val="24"/>
          <w:szCs w:val="24"/>
          <w:u w:val="none"/>
        </w:rPr>
        <w:t xml:space="preserve"> 20</w:t>
      </w:r>
      <w:r w:rsidR="00B847B7">
        <w:rPr>
          <w:rFonts w:ascii="Arial" w:hAnsi="Arial" w:cs="Arial"/>
          <w:b/>
          <w:sz w:val="24"/>
          <w:szCs w:val="24"/>
          <w:u w:val="none"/>
        </w:rPr>
        <w:t>20</w:t>
      </w:r>
      <w:r w:rsidR="00001295" w:rsidRPr="00001295">
        <w:rPr>
          <w:rFonts w:ascii="Arial" w:hAnsi="Arial" w:cs="Arial"/>
          <w:b/>
          <w:sz w:val="24"/>
          <w:szCs w:val="24"/>
          <w:u w:val="none"/>
        </w:rPr>
        <w:t>/20</w:t>
      </w:r>
      <w:r>
        <w:rPr>
          <w:rFonts w:ascii="Arial" w:hAnsi="Arial" w:cs="Arial"/>
          <w:b/>
          <w:sz w:val="24"/>
          <w:szCs w:val="24"/>
          <w:u w:val="none"/>
        </w:rPr>
        <w:t>2</w:t>
      </w:r>
      <w:r w:rsidR="00B847B7">
        <w:rPr>
          <w:rFonts w:ascii="Arial" w:hAnsi="Arial" w:cs="Arial"/>
          <w:b/>
          <w:sz w:val="24"/>
          <w:szCs w:val="24"/>
          <w:u w:val="none"/>
        </w:rPr>
        <w:t>1</w:t>
      </w:r>
    </w:p>
    <w:p w:rsidR="00C82946" w:rsidRPr="00304BD4" w:rsidRDefault="00C82946" w:rsidP="00EE1CFF">
      <w:pPr>
        <w:pBdr>
          <w:bottom w:val="single" w:sz="12" w:space="1" w:color="auto"/>
        </w:pBdr>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2C094E" w:rsidRDefault="00C82946" w:rsidP="00DA3469">
      <w:pPr>
        <w:pStyle w:val="Heading5"/>
        <w:rPr>
          <w:rFonts w:ascii="Arial" w:hAnsi="Arial" w:cs="Arial"/>
          <w:b/>
          <w:szCs w:val="24"/>
          <w:u w:val="none"/>
        </w:rPr>
      </w:pPr>
      <w:r w:rsidRPr="002C094E">
        <w:rPr>
          <w:rFonts w:ascii="Arial" w:hAnsi="Arial" w:cs="Arial"/>
          <w:b/>
          <w:szCs w:val="24"/>
          <w:u w:val="none"/>
        </w:rPr>
        <w:t>SUMMARY</w:t>
      </w:r>
    </w:p>
    <w:p w:rsidR="00C82946" w:rsidRPr="00304BD4" w:rsidRDefault="00C82946" w:rsidP="00DA3469">
      <w:pPr>
        <w:jc w:val="both"/>
        <w:rPr>
          <w:rFonts w:ascii="Arial" w:hAnsi="Arial" w:cs="Arial"/>
          <w:sz w:val="24"/>
          <w:szCs w:val="24"/>
          <w:u w:val="single"/>
        </w:rPr>
      </w:pPr>
    </w:p>
    <w:p w:rsidR="00C16A5D" w:rsidRDefault="00A01382" w:rsidP="00C16A5D">
      <w:pPr>
        <w:pStyle w:val="BodyTextIndent"/>
        <w:numPr>
          <w:ilvl w:val="1"/>
          <w:numId w:val="1"/>
        </w:numPr>
        <w:ind w:right="-270"/>
        <w:rPr>
          <w:rFonts w:ascii="Arial" w:hAnsi="Arial" w:cs="Arial"/>
          <w:szCs w:val="24"/>
        </w:rPr>
      </w:pPr>
      <w:r>
        <w:rPr>
          <w:rFonts w:ascii="Arial" w:hAnsi="Arial" w:cs="Arial"/>
          <w:szCs w:val="24"/>
        </w:rPr>
        <w:t xml:space="preserve">In accordance with </w:t>
      </w:r>
      <w:r w:rsidR="00156C04">
        <w:rPr>
          <w:rFonts w:ascii="Arial" w:hAnsi="Arial" w:cs="Arial"/>
          <w:szCs w:val="24"/>
        </w:rPr>
        <w:t>the Public Sector Internal Audit Standards (PSIAS) and The</w:t>
      </w:r>
      <w:r>
        <w:rPr>
          <w:rFonts w:ascii="Arial" w:hAnsi="Arial" w:cs="Arial"/>
          <w:szCs w:val="24"/>
        </w:rPr>
        <w:t xml:space="preserve"> Chartered Institute of Public Finance and Accountancy (CIPFA)</w:t>
      </w:r>
      <w:r w:rsidR="00156C04">
        <w:rPr>
          <w:rFonts w:ascii="Arial" w:hAnsi="Arial" w:cs="Arial"/>
          <w:szCs w:val="24"/>
        </w:rPr>
        <w:t>’s Local Government Application Note</w:t>
      </w:r>
      <w:r w:rsidR="00185E42">
        <w:rPr>
          <w:rFonts w:ascii="Arial" w:hAnsi="Arial" w:cs="Arial"/>
          <w:szCs w:val="24"/>
        </w:rPr>
        <w:t xml:space="preserve"> (2019)</w:t>
      </w:r>
      <w:r w:rsidR="00780429">
        <w:rPr>
          <w:rFonts w:ascii="Arial" w:hAnsi="Arial" w:cs="Arial"/>
          <w:szCs w:val="24"/>
        </w:rPr>
        <w:t xml:space="preserve">, </w:t>
      </w:r>
      <w:r>
        <w:rPr>
          <w:rFonts w:ascii="Arial" w:hAnsi="Arial" w:cs="Arial"/>
          <w:szCs w:val="24"/>
        </w:rPr>
        <w:t>t</w:t>
      </w:r>
      <w:r w:rsidR="00C82946" w:rsidRPr="00304BD4">
        <w:rPr>
          <w:rFonts w:ascii="Arial" w:hAnsi="Arial" w:cs="Arial"/>
          <w:szCs w:val="24"/>
        </w:rPr>
        <w:t xml:space="preserve">his report </w:t>
      </w:r>
      <w:r>
        <w:rPr>
          <w:rFonts w:ascii="Arial" w:hAnsi="Arial" w:cs="Arial"/>
          <w:szCs w:val="24"/>
        </w:rPr>
        <w:t>details the</w:t>
      </w:r>
      <w:r w:rsidR="00C16A5D">
        <w:rPr>
          <w:rFonts w:ascii="Arial" w:hAnsi="Arial" w:cs="Arial"/>
          <w:szCs w:val="24"/>
        </w:rPr>
        <w:t xml:space="preserve"> following:</w:t>
      </w:r>
    </w:p>
    <w:p w:rsidR="00C16A5D" w:rsidRDefault="00C16A5D" w:rsidP="009349E0">
      <w:pPr>
        <w:pStyle w:val="BodyTextIndent"/>
        <w:ind w:right="-270" w:hanging="720"/>
        <w:rPr>
          <w:rFonts w:ascii="Arial" w:hAnsi="Arial" w:cs="Arial"/>
          <w:szCs w:val="24"/>
        </w:rPr>
      </w:pPr>
    </w:p>
    <w:p w:rsidR="00C16A5D" w:rsidRDefault="00C16A5D" w:rsidP="00C16A5D">
      <w:pPr>
        <w:pStyle w:val="BodyTextIndent"/>
        <w:numPr>
          <w:ilvl w:val="0"/>
          <w:numId w:val="17"/>
        </w:numPr>
        <w:ind w:right="-270"/>
        <w:rPr>
          <w:rFonts w:ascii="Arial" w:hAnsi="Arial" w:cs="Arial"/>
          <w:szCs w:val="24"/>
        </w:rPr>
      </w:pPr>
      <w:r>
        <w:rPr>
          <w:rFonts w:ascii="Arial" w:hAnsi="Arial" w:cs="Arial"/>
          <w:szCs w:val="24"/>
        </w:rPr>
        <w:t xml:space="preserve">The </w:t>
      </w:r>
      <w:r w:rsidR="00A01382">
        <w:rPr>
          <w:rFonts w:ascii="Arial" w:hAnsi="Arial" w:cs="Arial"/>
          <w:szCs w:val="24"/>
        </w:rPr>
        <w:t>work undertaken by Internal Audit during 20</w:t>
      </w:r>
      <w:r w:rsidR="00342434">
        <w:rPr>
          <w:rFonts w:ascii="Arial" w:hAnsi="Arial" w:cs="Arial"/>
          <w:szCs w:val="24"/>
        </w:rPr>
        <w:t>20</w:t>
      </w:r>
      <w:r w:rsidR="00A01382">
        <w:rPr>
          <w:rFonts w:ascii="Arial" w:hAnsi="Arial" w:cs="Arial"/>
          <w:szCs w:val="24"/>
        </w:rPr>
        <w:t>/20</w:t>
      </w:r>
      <w:r w:rsidR="008825E4">
        <w:rPr>
          <w:rFonts w:ascii="Arial" w:hAnsi="Arial" w:cs="Arial"/>
          <w:szCs w:val="24"/>
        </w:rPr>
        <w:t>2</w:t>
      </w:r>
      <w:r w:rsidR="00342434">
        <w:rPr>
          <w:rFonts w:ascii="Arial" w:hAnsi="Arial" w:cs="Arial"/>
          <w:szCs w:val="24"/>
        </w:rPr>
        <w:t>1</w:t>
      </w:r>
    </w:p>
    <w:p w:rsidR="00C16A5D" w:rsidRDefault="00C16A5D" w:rsidP="00C16A5D">
      <w:pPr>
        <w:pStyle w:val="BodyTextIndent"/>
        <w:numPr>
          <w:ilvl w:val="0"/>
          <w:numId w:val="17"/>
        </w:numPr>
        <w:ind w:right="-270"/>
        <w:rPr>
          <w:rFonts w:ascii="Arial" w:hAnsi="Arial" w:cs="Arial"/>
          <w:szCs w:val="24"/>
        </w:rPr>
      </w:pPr>
      <w:r>
        <w:rPr>
          <w:rFonts w:ascii="Arial" w:hAnsi="Arial" w:cs="Arial"/>
          <w:szCs w:val="24"/>
        </w:rPr>
        <w:t>T</w:t>
      </w:r>
      <w:r w:rsidR="00A01382">
        <w:rPr>
          <w:rFonts w:ascii="Arial" w:hAnsi="Arial" w:cs="Arial"/>
          <w:szCs w:val="24"/>
        </w:rPr>
        <w:t xml:space="preserve">he </w:t>
      </w:r>
      <w:r w:rsidR="002A3C17">
        <w:rPr>
          <w:rFonts w:ascii="Arial" w:hAnsi="Arial" w:cs="Arial"/>
          <w:szCs w:val="24"/>
        </w:rPr>
        <w:t>key</w:t>
      </w:r>
      <w:r w:rsidR="00A01382">
        <w:rPr>
          <w:rFonts w:ascii="Arial" w:hAnsi="Arial" w:cs="Arial"/>
          <w:szCs w:val="24"/>
        </w:rPr>
        <w:t xml:space="preserve"> </w:t>
      </w:r>
      <w:r w:rsidR="002A3C17">
        <w:rPr>
          <w:rFonts w:ascii="Arial" w:hAnsi="Arial" w:cs="Arial"/>
          <w:szCs w:val="24"/>
        </w:rPr>
        <w:t xml:space="preserve">areas of assurance </w:t>
      </w:r>
      <w:r w:rsidR="00A01382">
        <w:rPr>
          <w:rFonts w:ascii="Arial" w:hAnsi="Arial" w:cs="Arial"/>
          <w:szCs w:val="24"/>
        </w:rPr>
        <w:t xml:space="preserve">upon which the </w:t>
      </w:r>
      <w:r w:rsidR="008825E4">
        <w:rPr>
          <w:rFonts w:ascii="Arial" w:hAnsi="Arial" w:cs="Arial"/>
          <w:szCs w:val="24"/>
        </w:rPr>
        <w:t>Corporate</w:t>
      </w:r>
      <w:r w:rsidR="00AB5B37">
        <w:rPr>
          <w:rFonts w:ascii="Arial" w:hAnsi="Arial" w:cs="Arial"/>
          <w:szCs w:val="24"/>
        </w:rPr>
        <w:t xml:space="preserve"> Assurance Manager</w:t>
      </w:r>
      <w:r w:rsidR="00A01382">
        <w:rPr>
          <w:rFonts w:ascii="Arial" w:hAnsi="Arial" w:cs="Arial"/>
          <w:szCs w:val="24"/>
        </w:rPr>
        <w:t xml:space="preserve"> has based his opinion on the overall adequacy and effectiveness of the organisation’s </w:t>
      </w:r>
      <w:r w:rsidR="000673AA">
        <w:rPr>
          <w:rFonts w:ascii="Arial" w:hAnsi="Arial" w:cs="Arial"/>
          <w:szCs w:val="24"/>
        </w:rPr>
        <w:t xml:space="preserve">risk management, </w:t>
      </w:r>
      <w:r w:rsidR="00A01382">
        <w:rPr>
          <w:rFonts w:ascii="Arial" w:hAnsi="Arial" w:cs="Arial"/>
          <w:szCs w:val="24"/>
        </w:rPr>
        <w:t xml:space="preserve">internal control </w:t>
      </w:r>
      <w:r w:rsidR="000673AA">
        <w:rPr>
          <w:rFonts w:ascii="Arial" w:hAnsi="Arial" w:cs="Arial"/>
          <w:szCs w:val="24"/>
        </w:rPr>
        <w:t>and governance processes</w:t>
      </w:r>
      <w:r>
        <w:rPr>
          <w:rFonts w:ascii="Arial" w:hAnsi="Arial" w:cs="Arial"/>
          <w:szCs w:val="24"/>
        </w:rPr>
        <w:t xml:space="preserve"> and</w:t>
      </w:r>
    </w:p>
    <w:p w:rsidR="00C82946" w:rsidRDefault="00C16A5D" w:rsidP="00C16A5D">
      <w:pPr>
        <w:pStyle w:val="BodyTextIndent"/>
        <w:numPr>
          <w:ilvl w:val="0"/>
          <w:numId w:val="17"/>
        </w:numPr>
        <w:ind w:right="-270"/>
        <w:rPr>
          <w:rFonts w:ascii="Arial" w:hAnsi="Arial" w:cs="Arial"/>
          <w:szCs w:val="24"/>
        </w:rPr>
      </w:pPr>
      <w:r>
        <w:rPr>
          <w:rFonts w:ascii="Arial" w:hAnsi="Arial" w:cs="Arial"/>
          <w:szCs w:val="24"/>
        </w:rPr>
        <w:t>T</w:t>
      </w:r>
      <w:r w:rsidR="00156C04">
        <w:rPr>
          <w:rFonts w:ascii="Arial" w:hAnsi="Arial" w:cs="Arial"/>
          <w:szCs w:val="24"/>
        </w:rPr>
        <w:t>he results of the Quality Assurance and Improvement Programme (QAIP)</w:t>
      </w:r>
      <w:r w:rsidR="00A01382">
        <w:rPr>
          <w:rFonts w:ascii="Arial" w:hAnsi="Arial" w:cs="Arial"/>
          <w:szCs w:val="24"/>
        </w:rPr>
        <w:t>.</w:t>
      </w:r>
    </w:p>
    <w:p w:rsidR="00D34F34" w:rsidRDefault="00D34F34" w:rsidP="009349E0">
      <w:pPr>
        <w:pStyle w:val="BodyTextIndent"/>
        <w:ind w:right="-270" w:hanging="720"/>
        <w:rPr>
          <w:rFonts w:ascii="Arial" w:hAnsi="Arial" w:cs="Arial"/>
          <w:szCs w:val="24"/>
        </w:rPr>
      </w:pPr>
    </w:p>
    <w:p w:rsidR="002A3C17" w:rsidRDefault="002A3C17" w:rsidP="002A3C17">
      <w:pPr>
        <w:ind w:left="720" w:hanging="720"/>
        <w:rPr>
          <w:rFonts w:ascii="Arial" w:hAnsi="Arial" w:cs="Arial"/>
          <w:sz w:val="24"/>
        </w:rPr>
      </w:pPr>
      <w:r w:rsidRPr="002A3C17">
        <w:rPr>
          <w:rFonts w:ascii="Arial" w:hAnsi="Arial" w:cs="Arial"/>
          <w:sz w:val="24"/>
        </w:rPr>
        <w:t>1.</w:t>
      </w:r>
      <w:r>
        <w:rPr>
          <w:rFonts w:ascii="Arial" w:hAnsi="Arial" w:cs="Arial"/>
          <w:sz w:val="24"/>
        </w:rPr>
        <w:t>2</w:t>
      </w:r>
      <w:r>
        <w:rPr>
          <w:rFonts w:ascii="Arial" w:hAnsi="Arial" w:cs="Arial"/>
          <w:sz w:val="24"/>
        </w:rPr>
        <w:tab/>
        <w:t xml:space="preserve">Even though the Covid-19 pandemic has impacted upon the delivery of services across the Council including Internal Audit, there is still the need for the Corporate Assurance </w:t>
      </w:r>
      <w:r w:rsidR="00FA40F6">
        <w:rPr>
          <w:rFonts w:ascii="Arial" w:hAnsi="Arial" w:cs="Arial"/>
          <w:sz w:val="24"/>
        </w:rPr>
        <w:t>M</w:t>
      </w:r>
      <w:r>
        <w:rPr>
          <w:rFonts w:ascii="Arial" w:hAnsi="Arial" w:cs="Arial"/>
          <w:sz w:val="24"/>
        </w:rPr>
        <w:t xml:space="preserve">anager to comply with the PSIAS and deliver an annual opinion and </w:t>
      </w:r>
      <w:r w:rsidR="00FA40F6">
        <w:rPr>
          <w:rFonts w:ascii="Arial" w:hAnsi="Arial" w:cs="Arial"/>
          <w:sz w:val="24"/>
        </w:rPr>
        <w:t>state</w:t>
      </w:r>
      <w:r>
        <w:rPr>
          <w:rFonts w:ascii="Arial" w:hAnsi="Arial" w:cs="Arial"/>
          <w:sz w:val="24"/>
        </w:rPr>
        <w:t xml:space="preserve"> any caveats to that opinion due to any shortfalls in the adequacy of the assurance received in respect of </w:t>
      </w:r>
      <w:r w:rsidR="00FA40F6">
        <w:rPr>
          <w:rFonts w:ascii="Arial" w:hAnsi="Arial" w:cs="Arial"/>
          <w:sz w:val="24"/>
        </w:rPr>
        <w:t>the Council’s risk management, internal control or overarching governance arrangements</w:t>
      </w:r>
      <w:r>
        <w:rPr>
          <w:rFonts w:ascii="Arial" w:hAnsi="Arial" w:cs="Arial"/>
          <w:sz w:val="24"/>
        </w:rPr>
        <w:t xml:space="preserve">  </w:t>
      </w:r>
    </w:p>
    <w:p w:rsidR="00C972E7" w:rsidRDefault="00C972E7" w:rsidP="002A3C17">
      <w:pPr>
        <w:ind w:left="720" w:hanging="720"/>
        <w:rPr>
          <w:rFonts w:ascii="Arial" w:hAnsi="Arial" w:cs="Arial"/>
        </w:rPr>
      </w:pPr>
    </w:p>
    <w:p w:rsidR="00C972E7" w:rsidRPr="00C972E7" w:rsidRDefault="00C972E7" w:rsidP="002A3C17">
      <w:pPr>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The guidance issued by CIPFA in respect of the Head of Internal Audit’s Annual Opinion for 2020/2021, particularly in respect of potential limitations of scope on which to base the opinion, due to the pandemic, has been considered by the Corporate Assurance Manager</w:t>
      </w:r>
    </w:p>
    <w:p w:rsidR="00434BCF" w:rsidRDefault="00434BCF" w:rsidP="00434BCF">
      <w:pPr>
        <w:pStyle w:val="BodyTextIndent"/>
        <w:ind w:right="-270"/>
        <w:rPr>
          <w:rFonts w:ascii="Arial" w:hAnsi="Arial" w:cs="Arial"/>
          <w:szCs w:val="24"/>
        </w:rPr>
      </w:pPr>
    </w:p>
    <w:p w:rsidR="00C82946" w:rsidRPr="00304BD4" w:rsidRDefault="00C82946" w:rsidP="009349E0">
      <w:pPr>
        <w:ind w:left="720" w:right="-291"/>
        <w:rPr>
          <w:rFonts w:ascii="Arial" w:hAnsi="Arial" w:cs="Arial"/>
          <w:sz w:val="24"/>
          <w:szCs w:val="24"/>
        </w:rPr>
      </w:pPr>
    </w:p>
    <w:p w:rsidR="00C82946" w:rsidRPr="002C094E" w:rsidRDefault="00C972E7" w:rsidP="009349E0">
      <w:pPr>
        <w:pStyle w:val="Heading4"/>
        <w:ind w:right="-291"/>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2C094E">
        <w:rPr>
          <w:rFonts w:ascii="Arial" w:hAnsi="Arial" w:cs="Arial"/>
          <w:b/>
          <w:szCs w:val="24"/>
          <w:u w:val="none"/>
        </w:rPr>
        <w:t>RECOMMENDATION</w:t>
      </w:r>
      <w:r w:rsidR="002C094E">
        <w:rPr>
          <w:rFonts w:ascii="Arial" w:hAnsi="Arial" w:cs="Arial"/>
          <w:b/>
          <w:szCs w:val="24"/>
          <w:u w:val="none"/>
        </w:rPr>
        <w:t>S</w:t>
      </w:r>
    </w:p>
    <w:p w:rsidR="00C82946" w:rsidRPr="00304BD4" w:rsidRDefault="00C82946" w:rsidP="009349E0">
      <w:pPr>
        <w:ind w:right="-291"/>
        <w:rPr>
          <w:rFonts w:ascii="Arial" w:hAnsi="Arial" w:cs="Arial"/>
          <w:sz w:val="24"/>
          <w:szCs w:val="24"/>
        </w:rPr>
      </w:pPr>
    </w:p>
    <w:p w:rsidR="00C82946" w:rsidRDefault="00C82946" w:rsidP="00C972E7">
      <w:pPr>
        <w:pStyle w:val="BodyTextIndent"/>
        <w:ind w:right="-291" w:hanging="720"/>
        <w:rPr>
          <w:rFonts w:ascii="Arial" w:hAnsi="Arial" w:cs="Arial"/>
          <w:szCs w:val="24"/>
        </w:rPr>
      </w:pPr>
      <w:r w:rsidRPr="00304BD4">
        <w:rPr>
          <w:rFonts w:ascii="Arial" w:hAnsi="Arial" w:cs="Arial"/>
          <w:szCs w:val="24"/>
        </w:rPr>
        <w:t xml:space="preserve">i) </w:t>
      </w:r>
      <w:r w:rsidRPr="00304BD4">
        <w:rPr>
          <w:rFonts w:ascii="Arial" w:hAnsi="Arial" w:cs="Arial"/>
          <w:szCs w:val="24"/>
        </w:rPr>
        <w:tab/>
        <w:t xml:space="preserve">That the </w:t>
      </w:r>
      <w:r w:rsidR="00FA40F6">
        <w:rPr>
          <w:rFonts w:ascii="Arial" w:hAnsi="Arial" w:cs="Arial"/>
          <w:szCs w:val="24"/>
        </w:rPr>
        <w:t xml:space="preserve">work undertaken by Internal Audit </w:t>
      </w:r>
      <w:r w:rsidR="00C972E7">
        <w:rPr>
          <w:rFonts w:ascii="Arial" w:hAnsi="Arial" w:cs="Arial"/>
          <w:szCs w:val="24"/>
        </w:rPr>
        <w:t xml:space="preserve">and the real time proactive assurance received </w:t>
      </w:r>
      <w:r w:rsidR="00FA40F6">
        <w:rPr>
          <w:rFonts w:ascii="Arial" w:hAnsi="Arial" w:cs="Arial"/>
          <w:szCs w:val="24"/>
        </w:rPr>
        <w:t>during</w:t>
      </w:r>
      <w:r w:rsidR="00DA3469">
        <w:rPr>
          <w:rFonts w:ascii="Arial" w:hAnsi="Arial" w:cs="Arial"/>
          <w:szCs w:val="24"/>
        </w:rPr>
        <w:t xml:space="preserve"> 20</w:t>
      </w:r>
      <w:r w:rsidR="00FA40F6">
        <w:rPr>
          <w:rFonts w:ascii="Arial" w:hAnsi="Arial" w:cs="Arial"/>
          <w:szCs w:val="24"/>
        </w:rPr>
        <w:t>20</w:t>
      </w:r>
      <w:r w:rsidR="00DA3469">
        <w:rPr>
          <w:rFonts w:ascii="Arial" w:hAnsi="Arial" w:cs="Arial"/>
          <w:szCs w:val="24"/>
        </w:rPr>
        <w:t>/20</w:t>
      </w:r>
      <w:r w:rsidR="008825E4">
        <w:rPr>
          <w:rFonts w:ascii="Arial" w:hAnsi="Arial" w:cs="Arial"/>
          <w:szCs w:val="24"/>
        </w:rPr>
        <w:t>2</w:t>
      </w:r>
      <w:r w:rsidR="00FA40F6">
        <w:rPr>
          <w:rFonts w:ascii="Arial" w:hAnsi="Arial" w:cs="Arial"/>
          <w:szCs w:val="24"/>
        </w:rPr>
        <w:t>1</w:t>
      </w:r>
      <w:r w:rsidR="00001295">
        <w:rPr>
          <w:rFonts w:ascii="Arial" w:hAnsi="Arial" w:cs="Arial"/>
          <w:szCs w:val="24"/>
        </w:rPr>
        <w:t xml:space="preserve"> </w:t>
      </w:r>
      <w:r w:rsidR="00B24FA4">
        <w:rPr>
          <w:rFonts w:ascii="Arial" w:hAnsi="Arial" w:cs="Arial"/>
          <w:szCs w:val="24"/>
        </w:rPr>
        <w:t>be</w:t>
      </w:r>
      <w:r w:rsidR="00001295">
        <w:rPr>
          <w:rFonts w:ascii="Arial" w:hAnsi="Arial" w:cs="Arial"/>
          <w:szCs w:val="24"/>
        </w:rPr>
        <w:t xml:space="preserve"> </w:t>
      </w:r>
      <w:r w:rsidR="006F4E22">
        <w:rPr>
          <w:rFonts w:ascii="Arial" w:hAnsi="Arial" w:cs="Arial"/>
          <w:szCs w:val="24"/>
        </w:rPr>
        <w:t>no</w:t>
      </w:r>
      <w:r w:rsidR="00001295">
        <w:rPr>
          <w:rFonts w:ascii="Arial" w:hAnsi="Arial" w:cs="Arial"/>
          <w:szCs w:val="24"/>
        </w:rPr>
        <w:t>ted</w:t>
      </w:r>
      <w:r w:rsidRPr="00304BD4">
        <w:rPr>
          <w:rFonts w:ascii="Arial" w:hAnsi="Arial" w:cs="Arial"/>
          <w:szCs w:val="24"/>
        </w:rPr>
        <w:t>.</w:t>
      </w:r>
    </w:p>
    <w:p w:rsidR="00C972E7" w:rsidRDefault="00C972E7" w:rsidP="00C972E7">
      <w:pPr>
        <w:pStyle w:val="BodyTextIndent"/>
        <w:ind w:right="-291" w:hanging="720"/>
        <w:rPr>
          <w:rFonts w:ascii="Arial" w:hAnsi="Arial" w:cs="Arial"/>
          <w:szCs w:val="24"/>
        </w:rPr>
      </w:pPr>
    </w:p>
    <w:p w:rsidR="00C972E7" w:rsidRPr="00304BD4" w:rsidRDefault="00C972E7" w:rsidP="00C972E7">
      <w:pPr>
        <w:pStyle w:val="BodyTextIndent"/>
        <w:ind w:right="-291" w:hanging="720"/>
        <w:rPr>
          <w:rFonts w:ascii="Arial" w:hAnsi="Arial" w:cs="Arial"/>
          <w:szCs w:val="24"/>
        </w:rPr>
      </w:pPr>
      <w:r>
        <w:rPr>
          <w:rFonts w:ascii="Arial" w:hAnsi="Arial" w:cs="Arial"/>
          <w:szCs w:val="24"/>
        </w:rPr>
        <w:t>ii)</w:t>
      </w:r>
      <w:r>
        <w:rPr>
          <w:rFonts w:ascii="Arial" w:hAnsi="Arial" w:cs="Arial"/>
          <w:szCs w:val="24"/>
        </w:rPr>
        <w:tab/>
        <w:t xml:space="preserve">That the performance indicators to be adopted by Internal Audit for 2021/2022 be accepted </w:t>
      </w:r>
    </w:p>
    <w:p w:rsidR="00C82946" w:rsidRPr="00304BD4" w:rsidRDefault="00C82946" w:rsidP="009349E0">
      <w:pPr>
        <w:pStyle w:val="BodyTextIndent"/>
        <w:ind w:left="0" w:right="-291"/>
        <w:rPr>
          <w:rFonts w:ascii="Arial" w:hAnsi="Arial" w:cs="Arial"/>
          <w:szCs w:val="24"/>
        </w:rPr>
      </w:pPr>
    </w:p>
    <w:p w:rsidR="00B24FA4" w:rsidRDefault="00001295" w:rsidP="009349E0">
      <w:pPr>
        <w:pStyle w:val="BodyTextIndent"/>
        <w:ind w:right="-291" w:hanging="720"/>
        <w:rPr>
          <w:rFonts w:ascii="Arial" w:hAnsi="Arial" w:cs="Arial"/>
          <w:szCs w:val="24"/>
        </w:rPr>
      </w:pPr>
      <w:r>
        <w:rPr>
          <w:rFonts w:ascii="Arial" w:hAnsi="Arial" w:cs="Arial"/>
          <w:szCs w:val="24"/>
        </w:rPr>
        <w:lastRenderedPageBreak/>
        <w:t>ii</w:t>
      </w:r>
      <w:r w:rsidR="00C972E7">
        <w:rPr>
          <w:rFonts w:ascii="Arial" w:hAnsi="Arial" w:cs="Arial"/>
          <w:szCs w:val="24"/>
        </w:rPr>
        <w:t>i</w:t>
      </w:r>
      <w:r>
        <w:rPr>
          <w:rFonts w:ascii="Arial" w:hAnsi="Arial" w:cs="Arial"/>
          <w:szCs w:val="24"/>
        </w:rPr>
        <w:t>)</w:t>
      </w:r>
      <w:r>
        <w:rPr>
          <w:rFonts w:ascii="Arial" w:hAnsi="Arial" w:cs="Arial"/>
          <w:szCs w:val="24"/>
        </w:rPr>
        <w:tab/>
      </w:r>
      <w:r w:rsidR="00B24FA4">
        <w:rPr>
          <w:rFonts w:ascii="Arial" w:hAnsi="Arial" w:cs="Arial"/>
          <w:szCs w:val="24"/>
        </w:rPr>
        <w:t>That the outcomes from the QAIP for 20</w:t>
      </w:r>
      <w:r w:rsidR="00C972E7">
        <w:rPr>
          <w:rFonts w:ascii="Arial" w:hAnsi="Arial" w:cs="Arial"/>
          <w:szCs w:val="24"/>
        </w:rPr>
        <w:t>20</w:t>
      </w:r>
      <w:r w:rsidR="00B24FA4">
        <w:rPr>
          <w:rFonts w:ascii="Arial" w:hAnsi="Arial" w:cs="Arial"/>
          <w:szCs w:val="24"/>
        </w:rPr>
        <w:t>/20</w:t>
      </w:r>
      <w:r w:rsidR="008825E4">
        <w:rPr>
          <w:rFonts w:ascii="Arial" w:hAnsi="Arial" w:cs="Arial"/>
          <w:szCs w:val="24"/>
        </w:rPr>
        <w:t>2</w:t>
      </w:r>
      <w:r w:rsidR="00C972E7">
        <w:rPr>
          <w:rFonts w:ascii="Arial" w:hAnsi="Arial" w:cs="Arial"/>
          <w:szCs w:val="24"/>
        </w:rPr>
        <w:t>1</w:t>
      </w:r>
      <w:r w:rsidR="00B24FA4">
        <w:rPr>
          <w:rFonts w:ascii="Arial" w:hAnsi="Arial" w:cs="Arial"/>
          <w:szCs w:val="24"/>
        </w:rPr>
        <w:t xml:space="preserve"> be </w:t>
      </w:r>
      <w:r w:rsidR="008825E4">
        <w:rPr>
          <w:rFonts w:ascii="Arial" w:hAnsi="Arial" w:cs="Arial"/>
          <w:szCs w:val="24"/>
        </w:rPr>
        <w:t>no</w:t>
      </w:r>
      <w:r w:rsidR="00B24FA4">
        <w:rPr>
          <w:rFonts w:ascii="Arial" w:hAnsi="Arial" w:cs="Arial"/>
          <w:szCs w:val="24"/>
        </w:rPr>
        <w:t>ted</w:t>
      </w:r>
    </w:p>
    <w:p w:rsidR="00DA3469" w:rsidRDefault="00DA3469" w:rsidP="009349E0">
      <w:pPr>
        <w:pStyle w:val="BodyTextIndent"/>
        <w:ind w:left="540" w:right="-291" w:hanging="540"/>
        <w:rPr>
          <w:rFonts w:ascii="Arial" w:hAnsi="Arial" w:cs="Arial"/>
          <w:szCs w:val="24"/>
        </w:rPr>
      </w:pPr>
    </w:p>
    <w:p w:rsidR="008F7FC6" w:rsidRDefault="00C972E7" w:rsidP="008F7FC6">
      <w:pPr>
        <w:pStyle w:val="BodyTextIndent"/>
        <w:ind w:right="-291" w:hanging="720"/>
        <w:rPr>
          <w:rFonts w:ascii="Arial" w:hAnsi="Arial" w:cs="Arial"/>
          <w:szCs w:val="24"/>
        </w:rPr>
      </w:pPr>
      <w:r>
        <w:rPr>
          <w:rFonts w:ascii="Arial" w:hAnsi="Arial" w:cs="Arial"/>
          <w:szCs w:val="24"/>
        </w:rPr>
        <w:t>i</w:t>
      </w:r>
      <w:r w:rsidR="008F7FC6">
        <w:rPr>
          <w:rFonts w:ascii="Arial" w:hAnsi="Arial" w:cs="Arial"/>
          <w:szCs w:val="24"/>
        </w:rPr>
        <w:t>v</w:t>
      </w:r>
      <w:r w:rsidR="008F7FC6" w:rsidRPr="00304BD4">
        <w:rPr>
          <w:rFonts w:ascii="Arial" w:hAnsi="Arial" w:cs="Arial"/>
          <w:szCs w:val="24"/>
        </w:rPr>
        <w:t xml:space="preserve">) </w:t>
      </w:r>
      <w:r w:rsidR="008F7FC6" w:rsidRPr="00304BD4">
        <w:rPr>
          <w:rFonts w:ascii="Arial" w:hAnsi="Arial" w:cs="Arial"/>
          <w:szCs w:val="24"/>
        </w:rPr>
        <w:tab/>
      </w:r>
      <w:r w:rsidR="008F7FC6">
        <w:rPr>
          <w:rFonts w:ascii="Arial" w:hAnsi="Arial" w:cs="Arial"/>
          <w:szCs w:val="24"/>
        </w:rPr>
        <w:t xml:space="preserve">That the </w:t>
      </w:r>
      <w:r w:rsidR="008825E4">
        <w:rPr>
          <w:rFonts w:ascii="Arial" w:hAnsi="Arial" w:cs="Arial"/>
          <w:szCs w:val="24"/>
        </w:rPr>
        <w:t>Corporate</w:t>
      </w:r>
      <w:r w:rsidR="00AB5B37">
        <w:rPr>
          <w:rFonts w:ascii="Arial" w:hAnsi="Arial" w:cs="Arial"/>
          <w:szCs w:val="24"/>
        </w:rPr>
        <w:t xml:space="preserve"> Assurance Manager</w:t>
      </w:r>
      <w:r w:rsidR="008F7FC6">
        <w:rPr>
          <w:rFonts w:ascii="Arial" w:hAnsi="Arial" w:cs="Arial"/>
          <w:szCs w:val="24"/>
        </w:rPr>
        <w:t xml:space="preserve">’s opinion </w:t>
      </w:r>
      <w:r w:rsidR="00CC5F8D">
        <w:rPr>
          <w:rFonts w:ascii="Arial" w:hAnsi="Arial" w:cs="Arial"/>
          <w:szCs w:val="24"/>
        </w:rPr>
        <w:t xml:space="preserve">statement </w:t>
      </w:r>
      <w:r w:rsidR="008F7FC6">
        <w:rPr>
          <w:rFonts w:ascii="Arial" w:hAnsi="Arial" w:cs="Arial"/>
          <w:szCs w:val="24"/>
        </w:rPr>
        <w:t xml:space="preserve">on the Council’s </w:t>
      </w:r>
      <w:r w:rsidR="009016CC">
        <w:rPr>
          <w:rFonts w:ascii="Arial" w:hAnsi="Arial" w:cs="Arial"/>
          <w:szCs w:val="24"/>
        </w:rPr>
        <w:t xml:space="preserve">risk management, </w:t>
      </w:r>
      <w:r w:rsidR="008F7FC6">
        <w:rPr>
          <w:rFonts w:ascii="Arial" w:hAnsi="Arial" w:cs="Arial"/>
          <w:szCs w:val="24"/>
        </w:rPr>
        <w:t xml:space="preserve">internal control </w:t>
      </w:r>
      <w:r w:rsidR="009016CC">
        <w:rPr>
          <w:rFonts w:ascii="Arial" w:hAnsi="Arial" w:cs="Arial"/>
          <w:szCs w:val="24"/>
        </w:rPr>
        <w:t xml:space="preserve">and governance processes </w:t>
      </w:r>
      <w:r w:rsidR="00B24FA4">
        <w:rPr>
          <w:rFonts w:ascii="Arial" w:hAnsi="Arial" w:cs="Arial"/>
          <w:szCs w:val="24"/>
        </w:rPr>
        <w:t>be</w:t>
      </w:r>
      <w:r w:rsidR="008F7FC6">
        <w:rPr>
          <w:rFonts w:ascii="Arial" w:hAnsi="Arial" w:cs="Arial"/>
          <w:szCs w:val="24"/>
        </w:rPr>
        <w:t xml:space="preserve"> </w:t>
      </w:r>
      <w:r w:rsidR="00A82332">
        <w:rPr>
          <w:rFonts w:ascii="Arial" w:hAnsi="Arial" w:cs="Arial"/>
          <w:szCs w:val="24"/>
        </w:rPr>
        <w:t>accepted</w:t>
      </w:r>
      <w:r w:rsidR="008F7FC6">
        <w:rPr>
          <w:rFonts w:ascii="Arial" w:hAnsi="Arial" w:cs="Arial"/>
          <w:szCs w:val="24"/>
        </w:rPr>
        <w:t>.</w:t>
      </w:r>
    </w:p>
    <w:p w:rsidR="009016CC" w:rsidRDefault="009016CC" w:rsidP="009349E0">
      <w:pPr>
        <w:pStyle w:val="BodyTextIndent"/>
        <w:ind w:right="-291" w:hanging="720"/>
        <w:rPr>
          <w:rFonts w:ascii="Arial" w:hAnsi="Arial" w:cs="Arial"/>
          <w:szCs w:val="24"/>
        </w:rPr>
      </w:pPr>
    </w:p>
    <w:p w:rsidR="004A2EE1" w:rsidRDefault="004A2EE1" w:rsidP="009349E0">
      <w:pPr>
        <w:pStyle w:val="BodyTextIndent"/>
        <w:ind w:right="-291" w:hanging="720"/>
        <w:rPr>
          <w:rFonts w:ascii="Arial" w:hAnsi="Arial" w:cs="Arial"/>
          <w:szCs w:val="24"/>
        </w:rPr>
      </w:pPr>
    </w:p>
    <w:p w:rsidR="00C82946" w:rsidRPr="002C094E" w:rsidRDefault="00C972E7" w:rsidP="009761B9">
      <w:pPr>
        <w:pStyle w:val="Heading4"/>
        <w:tabs>
          <w:tab w:val="clear" w:pos="720"/>
          <w:tab w:val="num" w:pos="709"/>
        </w:tabs>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2C094E">
        <w:rPr>
          <w:rFonts w:ascii="Arial" w:hAnsi="Arial" w:cs="Arial"/>
          <w:b/>
          <w:szCs w:val="24"/>
          <w:u w:val="none"/>
        </w:rPr>
        <w:t>BACKGROUND</w:t>
      </w:r>
    </w:p>
    <w:p w:rsidR="002F242B" w:rsidRDefault="002F242B" w:rsidP="009349E0">
      <w:pPr>
        <w:jc w:val="both"/>
      </w:pPr>
    </w:p>
    <w:p w:rsidR="00C82946" w:rsidRDefault="00C27099" w:rsidP="009761B9">
      <w:pPr>
        <w:pStyle w:val="BodyTextIndent"/>
        <w:ind w:left="709" w:hanging="709"/>
        <w:rPr>
          <w:rFonts w:ascii="Arial" w:hAnsi="Arial" w:cs="Arial"/>
          <w:szCs w:val="24"/>
        </w:rPr>
      </w:pPr>
      <w:r>
        <w:rPr>
          <w:rFonts w:ascii="Arial" w:hAnsi="Arial" w:cs="Arial"/>
          <w:szCs w:val="24"/>
        </w:rPr>
        <w:t>3.1</w:t>
      </w:r>
      <w:r>
        <w:rPr>
          <w:rFonts w:ascii="Arial" w:hAnsi="Arial" w:cs="Arial"/>
          <w:szCs w:val="24"/>
        </w:rPr>
        <w:tab/>
        <w:t xml:space="preserve">A key piece of evidence as to the effectiveness of internal audit is the extent of its compliance with the </w:t>
      </w:r>
      <w:r w:rsidR="00156C04">
        <w:rPr>
          <w:rFonts w:ascii="Arial" w:hAnsi="Arial" w:cs="Arial"/>
          <w:szCs w:val="24"/>
        </w:rPr>
        <w:t xml:space="preserve">PSIAS and </w:t>
      </w:r>
      <w:r>
        <w:rPr>
          <w:rFonts w:ascii="Arial" w:hAnsi="Arial" w:cs="Arial"/>
          <w:szCs w:val="24"/>
        </w:rPr>
        <w:t>CIPFA</w:t>
      </w:r>
      <w:r w:rsidR="00156C04">
        <w:rPr>
          <w:rFonts w:ascii="Arial" w:hAnsi="Arial" w:cs="Arial"/>
          <w:szCs w:val="24"/>
        </w:rPr>
        <w:t>’s Local Government Application Note</w:t>
      </w:r>
      <w:r>
        <w:rPr>
          <w:rFonts w:ascii="Arial" w:hAnsi="Arial" w:cs="Arial"/>
          <w:szCs w:val="24"/>
        </w:rPr>
        <w:t xml:space="preserve">, which amongst a number of prescribed standards requires the </w:t>
      </w:r>
      <w:r w:rsidR="005D6796">
        <w:rPr>
          <w:rFonts w:ascii="Arial" w:hAnsi="Arial" w:cs="Arial"/>
          <w:szCs w:val="24"/>
        </w:rPr>
        <w:t>Corporate</w:t>
      </w:r>
      <w:r w:rsidR="00AB5B37">
        <w:rPr>
          <w:rFonts w:ascii="Arial" w:hAnsi="Arial" w:cs="Arial"/>
          <w:szCs w:val="24"/>
        </w:rPr>
        <w:t xml:space="preserve"> Assurance Manager</w:t>
      </w:r>
      <w:r>
        <w:rPr>
          <w:rFonts w:ascii="Arial" w:hAnsi="Arial" w:cs="Arial"/>
          <w:szCs w:val="24"/>
        </w:rPr>
        <w:t xml:space="preserve"> to submit a formal annual report to the organisation, </w:t>
      </w:r>
      <w:r w:rsidR="007444F3">
        <w:rPr>
          <w:rFonts w:ascii="Arial" w:hAnsi="Arial" w:cs="Arial"/>
          <w:szCs w:val="24"/>
        </w:rPr>
        <w:t>includ</w:t>
      </w:r>
      <w:r w:rsidR="00F63FE8">
        <w:rPr>
          <w:rFonts w:ascii="Arial" w:hAnsi="Arial" w:cs="Arial"/>
          <w:szCs w:val="24"/>
        </w:rPr>
        <w:t>ing the following:-</w:t>
      </w:r>
    </w:p>
    <w:p w:rsidR="00F63FE8" w:rsidRDefault="00F63FE8" w:rsidP="009349E0">
      <w:pPr>
        <w:pStyle w:val="BodyTextIndent"/>
        <w:ind w:left="0"/>
        <w:rPr>
          <w:rFonts w:ascii="Arial" w:hAnsi="Arial" w:cs="Arial"/>
          <w:szCs w:val="24"/>
        </w:rPr>
      </w:pPr>
    </w:p>
    <w:p w:rsidR="00F63FE8" w:rsidRDefault="00F63FE8" w:rsidP="009761B9">
      <w:pPr>
        <w:pStyle w:val="BodyTextIndent"/>
        <w:ind w:left="709" w:hanging="709"/>
        <w:rPr>
          <w:rFonts w:ascii="Arial" w:hAnsi="Arial" w:cs="Arial"/>
          <w:szCs w:val="24"/>
        </w:rPr>
      </w:pPr>
      <w:r>
        <w:rPr>
          <w:rFonts w:ascii="Arial" w:hAnsi="Arial" w:cs="Arial"/>
          <w:szCs w:val="24"/>
        </w:rPr>
        <w:t>i)</w:t>
      </w:r>
      <w:r>
        <w:rPr>
          <w:rFonts w:ascii="Arial" w:hAnsi="Arial" w:cs="Arial"/>
          <w:szCs w:val="24"/>
        </w:rPr>
        <w:tab/>
      </w:r>
      <w:r w:rsidR="007444F3">
        <w:rPr>
          <w:rFonts w:ascii="Arial" w:hAnsi="Arial" w:cs="Arial"/>
          <w:szCs w:val="24"/>
        </w:rPr>
        <w:t>An opinion on the overall adequacy and effectiveness of the organisation’s</w:t>
      </w:r>
      <w:r w:rsidR="00BE2797">
        <w:rPr>
          <w:rFonts w:ascii="Arial" w:hAnsi="Arial" w:cs="Arial"/>
          <w:szCs w:val="24"/>
        </w:rPr>
        <w:t xml:space="preserve"> risk management,</w:t>
      </w:r>
      <w:r w:rsidR="007444F3">
        <w:rPr>
          <w:rFonts w:ascii="Arial" w:hAnsi="Arial" w:cs="Arial"/>
          <w:szCs w:val="24"/>
        </w:rPr>
        <w:t xml:space="preserve"> internal control</w:t>
      </w:r>
      <w:r w:rsidR="00BE2797">
        <w:rPr>
          <w:rFonts w:ascii="Arial" w:hAnsi="Arial" w:cs="Arial"/>
          <w:szCs w:val="24"/>
        </w:rPr>
        <w:t xml:space="preserve"> and governance processes</w:t>
      </w:r>
    </w:p>
    <w:p w:rsidR="007444F3" w:rsidRDefault="007444F3" w:rsidP="009761B9">
      <w:pPr>
        <w:pStyle w:val="BodyTextIndent"/>
        <w:ind w:left="709" w:hanging="709"/>
        <w:rPr>
          <w:rFonts w:ascii="Arial" w:hAnsi="Arial" w:cs="Arial"/>
          <w:szCs w:val="24"/>
        </w:rPr>
      </w:pPr>
      <w:r>
        <w:rPr>
          <w:rFonts w:ascii="Arial" w:hAnsi="Arial" w:cs="Arial"/>
          <w:szCs w:val="24"/>
        </w:rPr>
        <w:t>ii)</w:t>
      </w:r>
      <w:r>
        <w:rPr>
          <w:rFonts w:ascii="Arial" w:hAnsi="Arial" w:cs="Arial"/>
          <w:szCs w:val="24"/>
        </w:rPr>
        <w:tab/>
        <w:t>Disclos</w:t>
      </w:r>
      <w:r w:rsidR="00DB1318">
        <w:rPr>
          <w:rFonts w:ascii="Arial" w:hAnsi="Arial" w:cs="Arial"/>
          <w:szCs w:val="24"/>
        </w:rPr>
        <w:t>ing</w:t>
      </w:r>
      <w:r>
        <w:rPr>
          <w:rFonts w:ascii="Arial" w:hAnsi="Arial" w:cs="Arial"/>
          <w:szCs w:val="24"/>
        </w:rPr>
        <w:t xml:space="preserve"> any qualifications to that opinion, together with the reasons for the qualification</w:t>
      </w:r>
    </w:p>
    <w:p w:rsidR="007444F3" w:rsidRDefault="007444F3" w:rsidP="009761B9">
      <w:pPr>
        <w:pStyle w:val="BodyTextIndent"/>
        <w:ind w:left="709" w:hanging="709"/>
        <w:rPr>
          <w:rFonts w:ascii="Arial" w:hAnsi="Arial" w:cs="Arial"/>
          <w:szCs w:val="24"/>
        </w:rPr>
      </w:pPr>
      <w:r>
        <w:rPr>
          <w:rFonts w:ascii="Arial" w:hAnsi="Arial" w:cs="Arial"/>
          <w:szCs w:val="24"/>
        </w:rPr>
        <w:t>iii)</w:t>
      </w:r>
      <w:r>
        <w:rPr>
          <w:rFonts w:ascii="Arial" w:hAnsi="Arial" w:cs="Arial"/>
          <w:szCs w:val="24"/>
        </w:rPr>
        <w:tab/>
        <w:t>Present</w:t>
      </w:r>
      <w:r w:rsidR="00DB1318">
        <w:rPr>
          <w:rFonts w:ascii="Arial" w:hAnsi="Arial" w:cs="Arial"/>
          <w:szCs w:val="24"/>
        </w:rPr>
        <w:t>ing</w:t>
      </w:r>
      <w:r>
        <w:rPr>
          <w:rFonts w:ascii="Arial" w:hAnsi="Arial" w:cs="Arial"/>
          <w:szCs w:val="24"/>
        </w:rPr>
        <w:t xml:space="preserve"> a summary of the audit work undertaken to formulate the opinion, including reliance placed on work by other assurance </w:t>
      </w:r>
      <w:r w:rsidR="004A2EE1">
        <w:rPr>
          <w:rFonts w:ascii="Arial" w:hAnsi="Arial" w:cs="Arial"/>
          <w:szCs w:val="24"/>
        </w:rPr>
        <w:t>providers</w:t>
      </w:r>
    </w:p>
    <w:p w:rsidR="007444F3" w:rsidRDefault="007444F3" w:rsidP="009761B9">
      <w:pPr>
        <w:pStyle w:val="BodyTextIndent"/>
        <w:ind w:left="709" w:hanging="709"/>
        <w:rPr>
          <w:rFonts w:ascii="Arial" w:hAnsi="Arial" w:cs="Arial"/>
          <w:szCs w:val="24"/>
        </w:rPr>
      </w:pPr>
      <w:r>
        <w:rPr>
          <w:rFonts w:ascii="Arial" w:hAnsi="Arial" w:cs="Arial"/>
          <w:szCs w:val="24"/>
        </w:rPr>
        <w:t>iv)</w:t>
      </w:r>
      <w:r>
        <w:rPr>
          <w:rFonts w:ascii="Arial" w:hAnsi="Arial" w:cs="Arial"/>
          <w:szCs w:val="24"/>
        </w:rPr>
        <w:tab/>
      </w:r>
      <w:r w:rsidR="0057782A">
        <w:rPr>
          <w:rFonts w:ascii="Arial" w:hAnsi="Arial" w:cs="Arial"/>
          <w:szCs w:val="24"/>
        </w:rPr>
        <w:t>Identifying</w:t>
      </w:r>
      <w:r w:rsidR="00DB1318">
        <w:rPr>
          <w:rFonts w:ascii="Arial" w:hAnsi="Arial" w:cs="Arial"/>
          <w:szCs w:val="24"/>
        </w:rPr>
        <w:t xml:space="preserve"> any issues the </w:t>
      </w:r>
      <w:r w:rsidR="005D6796">
        <w:rPr>
          <w:rFonts w:ascii="Arial" w:hAnsi="Arial" w:cs="Arial"/>
          <w:szCs w:val="24"/>
        </w:rPr>
        <w:t>Corporate</w:t>
      </w:r>
      <w:r w:rsidR="00AB5B37">
        <w:rPr>
          <w:rFonts w:ascii="Arial" w:hAnsi="Arial" w:cs="Arial"/>
          <w:szCs w:val="24"/>
        </w:rPr>
        <w:t xml:space="preserve"> Assurance Manager</w:t>
      </w:r>
      <w:r w:rsidR="00C27099">
        <w:rPr>
          <w:rFonts w:ascii="Arial" w:hAnsi="Arial" w:cs="Arial"/>
          <w:szCs w:val="24"/>
        </w:rPr>
        <w:t xml:space="preserve"> </w:t>
      </w:r>
      <w:r w:rsidR="00ED37EA">
        <w:rPr>
          <w:rFonts w:ascii="Arial" w:hAnsi="Arial" w:cs="Arial"/>
          <w:szCs w:val="24"/>
        </w:rPr>
        <w:t>considers are</w:t>
      </w:r>
      <w:r w:rsidR="00DB1318">
        <w:rPr>
          <w:rFonts w:ascii="Arial" w:hAnsi="Arial" w:cs="Arial"/>
          <w:szCs w:val="24"/>
        </w:rPr>
        <w:t xml:space="preserve"> particularly relevant to the preparation of the </w:t>
      </w:r>
      <w:r w:rsidR="00784BC0">
        <w:rPr>
          <w:rFonts w:ascii="Arial" w:hAnsi="Arial" w:cs="Arial"/>
          <w:szCs w:val="24"/>
        </w:rPr>
        <w:t xml:space="preserve">governance </w:t>
      </w:r>
      <w:r w:rsidR="00DB1318">
        <w:rPr>
          <w:rFonts w:ascii="Arial" w:hAnsi="Arial" w:cs="Arial"/>
          <w:szCs w:val="24"/>
        </w:rPr>
        <w:t xml:space="preserve">statement </w:t>
      </w:r>
    </w:p>
    <w:p w:rsidR="00DB1318" w:rsidRDefault="00DB1318" w:rsidP="009761B9">
      <w:pPr>
        <w:pStyle w:val="BodyTextIndent"/>
        <w:ind w:left="709" w:hanging="709"/>
        <w:rPr>
          <w:rFonts w:ascii="Arial" w:hAnsi="Arial" w:cs="Arial"/>
          <w:szCs w:val="24"/>
        </w:rPr>
      </w:pPr>
      <w:r>
        <w:rPr>
          <w:rFonts w:ascii="Arial" w:hAnsi="Arial" w:cs="Arial"/>
          <w:szCs w:val="24"/>
        </w:rPr>
        <w:t>v)</w:t>
      </w:r>
      <w:r>
        <w:rPr>
          <w:rFonts w:ascii="Arial" w:hAnsi="Arial" w:cs="Arial"/>
          <w:szCs w:val="24"/>
        </w:rPr>
        <w:tab/>
        <w:t xml:space="preserve">Comparing the work actually undertaken with the work that was planned and summarising the performance of the Internal Audit function against its performance measures </w:t>
      </w:r>
    </w:p>
    <w:p w:rsidR="00131927" w:rsidRDefault="00131927" w:rsidP="009761B9">
      <w:pPr>
        <w:pStyle w:val="BodyTextIndent"/>
        <w:ind w:left="709" w:hanging="709"/>
        <w:rPr>
          <w:rFonts w:ascii="Arial" w:hAnsi="Arial" w:cs="Arial"/>
          <w:szCs w:val="24"/>
        </w:rPr>
      </w:pPr>
      <w:r>
        <w:rPr>
          <w:rFonts w:ascii="Arial" w:hAnsi="Arial" w:cs="Arial"/>
          <w:szCs w:val="24"/>
        </w:rPr>
        <w:t>vi)</w:t>
      </w:r>
      <w:r>
        <w:rPr>
          <w:rFonts w:ascii="Arial" w:hAnsi="Arial" w:cs="Arial"/>
          <w:szCs w:val="24"/>
        </w:rPr>
        <w:tab/>
      </w:r>
      <w:r w:rsidR="00C972E7">
        <w:rPr>
          <w:rFonts w:ascii="Arial" w:hAnsi="Arial" w:cs="Arial"/>
          <w:szCs w:val="24"/>
        </w:rPr>
        <w:t>Detailing the</w:t>
      </w:r>
      <w:r>
        <w:rPr>
          <w:rFonts w:ascii="Arial" w:hAnsi="Arial" w:cs="Arial"/>
          <w:szCs w:val="24"/>
        </w:rPr>
        <w:t xml:space="preserve"> results of reviews </w:t>
      </w:r>
      <w:r w:rsidR="00D72145">
        <w:rPr>
          <w:rFonts w:ascii="Arial" w:hAnsi="Arial" w:cs="Arial"/>
          <w:szCs w:val="24"/>
        </w:rPr>
        <w:t xml:space="preserve">undertaken to assess the level of </w:t>
      </w:r>
      <w:r>
        <w:rPr>
          <w:rFonts w:ascii="Arial" w:hAnsi="Arial" w:cs="Arial"/>
          <w:szCs w:val="24"/>
        </w:rPr>
        <w:t xml:space="preserve">implementation of recommendations </w:t>
      </w:r>
      <w:r w:rsidR="00D72145">
        <w:rPr>
          <w:rFonts w:ascii="Arial" w:hAnsi="Arial" w:cs="Arial"/>
          <w:szCs w:val="24"/>
        </w:rPr>
        <w:t>made in</w:t>
      </w:r>
      <w:r>
        <w:rPr>
          <w:rFonts w:ascii="Arial" w:hAnsi="Arial" w:cs="Arial"/>
          <w:szCs w:val="24"/>
        </w:rPr>
        <w:t xml:space="preserve"> previous Internal Audit reviews </w:t>
      </w:r>
    </w:p>
    <w:p w:rsidR="00156C04" w:rsidRDefault="00156C04" w:rsidP="009761B9">
      <w:pPr>
        <w:pStyle w:val="BodyTextIndent"/>
        <w:ind w:left="709" w:hanging="709"/>
        <w:rPr>
          <w:rFonts w:ascii="Arial" w:hAnsi="Arial" w:cs="Arial"/>
          <w:szCs w:val="24"/>
        </w:rPr>
      </w:pPr>
      <w:r>
        <w:rPr>
          <w:rFonts w:ascii="Arial" w:hAnsi="Arial" w:cs="Arial"/>
          <w:szCs w:val="24"/>
        </w:rPr>
        <w:t>vi</w:t>
      </w:r>
      <w:r w:rsidR="00131927">
        <w:rPr>
          <w:rFonts w:ascii="Arial" w:hAnsi="Arial" w:cs="Arial"/>
          <w:szCs w:val="24"/>
        </w:rPr>
        <w:t>i</w:t>
      </w:r>
      <w:r>
        <w:rPr>
          <w:rFonts w:ascii="Arial" w:hAnsi="Arial" w:cs="Arial"/>
          <w:szCs w:val="24"/>
        </w:rPr>
        <w:t>)</w:t>
      </w:r>
      <w:r>
        <w:rPr>
          <w:rFonts w:ascii="Arial" w:hAnsi="Arial" w:cs="Arial"/>
          <w:szCs w:val="24"/>
        </w:rPr>
        <w:tab/>
        <w:t>Disclosure of any impairments or restrictions in scope</w:t>
      </w:r>
    </w:p>
    <w:p w:rsidR="00156C04" w:rsidRDefault="00156C04" w:rsidP="009761B9">
      <w:pPr>
        <w:pStyle w:val="BodyTextIndent"/>
        <w:ind w:left="709" w:hanging="709"/>
        <w:rPr>
          <w:rFonts w:ascii="Arial" w:hAnsi="Arial" w:cs="Arial"/>
          <w:szCs w:val="24"/>
        </w:rPr>
      </w:pPr>
      <w:r>
        <w:rPr>
          <w:rFonts w:ascii="Arial" w:hAnsi="Arial" w:cs="Arial"/>
          <w:szCs w:val="24"/>
        </w:rPr>
        <w:t>vii</w:t>
      </w:r>
      <w:r w:rsidR="00131927">
        <w:rPr>
          <w:rFonts w:ascii="Arial" w:hAnsi="Arial" w:cs="Arial"/>
          <w:szCs w:val="24"/>
        </w:rPr>
        <w:t>i</w:t>
      </w:r>
      <w:r>
        <w:rPr>
          <w:rFonts w:ascii="Arial" w:hAnsi="Arial" w:cs="Arial"/>
          <w:szCs w:val="24"/>
        </w:rPr>
        <w:t>)</w:t>
      </w:r>
      <w:r>
        <w:rPr>
          <w:rFonts w:ascii="Arial" w:hAnsi="Arial" w:cs="Arial"/>
          <w:szCs w:val="24"/>
        </w:rPr>
        <w:tab/>
        <w:t>The results of the QAIP and progress against any improvement plans resulting from it</w:t>
      </w:r>
    </w:p>
    <w:p w:rsidR="00156C04" w:rsidRDefault="00131927" w:rsidP="009761B9">
      <w:pPr>
        <w:pStyle w:val="BodyTextIndent"/>
        <w:ind w:left="709" w:hanging="709"/>
        <w:rPr>
          <w:rFonts w:ascii="Arial" w:hAnsi="Arial" w:cs="Arial"/>
          <w:szCs w:val="24"/>
        </w:rPr>
      </w:pPr>
      <w:r>
        <w:rPr>
          <w:rFonts w:ascii="Arial" w:hAnsi="Arial" w:cs="Arial"/>
          <w:szCs w:val="24"/>
        </w:rPr>
        <w:t>ix</w:t>
      </w:r>
      <w:r w:rsidR="00156C04">
        <w:rPr>
          <w:rFonts w:ascii="Arial" w:hAnsi="Arial" w:cs="Arial"/>
          <w:szCs w:val="24"/>
        </w:rPr>
        <w:t>)</w:t>
      </w:r>
      <w:r w:rsidR="00156C04">
        <w:rPr>
          <w:rFonts w:ascii="Arial" w:hAnsi="Arial" w:cs="Arial"/>
          <w:szCs w:val="24"/>
        </w:rPr>
        <w:tab/>
        <w:t>A statement on conformance with the PSIAS and Internal Audit Charter</w:t>
      </w:r>
    </w:p>
    <w:p w:rsidR="00DB1318" w:rsidRDefault="00DB1318" w:rsidP="009349E0">
      <w:pPr>
        <w:pStyle w:val="BodyTextIndent"/>
        <w:ind w:left="567" w:hanging="567"/>
        <w:rPr>
          <w:rFonts w:ascii="Arial" w:hAnsi="Arial" w:cs="Arial"/>
          <w:szCs w:val="24"/>
        </w:rPr>
      </w:pPr>
    </w:p>
    <w:p w:rsidR="00CE34A4" w:rsidRPr="00003384" w:rsidRDefault="00CE34A4" w:rsidP="009349E0">
      <w:pPr>
        <w:pStyle w:val="BodyTextIndent"/>
        <w:ind w:left="567" w:hanging="567"/>
        <w:rPr>
          <w:rFonts w:ascii="Arial" w:hAnsi="Arial" w:cs="Arial"/>
          <w:b/>
          <w:szCs w:val="24"/>
          <w:u w:val="single"/>
        </w:rPr>
      </w:pPr>
      <w:r>
        <w:rPr>
          <w:rFonts w:ascii="Arial" w:hAnsi="Arial" w:cs="Arial"/>
          <w:szCs w:val="24"/>
        </w:rPr>
        <w:tab/>
      </w:r>
      <w:r>
        <w:rPr>
          <w:rFonts w:ascii="Arial" w:hAnsi="Arial" w:cs="Arial"/>
          <w:szCs w:val="24"/>
        </w:rPr>
        <w:tab/>
      </w:r>
      <w:r w:rsidRPr="00003384">
        <w:rPr>
          <w:rFonts w:ascii="Arial" w:hAnsi="Arial" w:cs="Arial"/>
          <w:b/>
          <w:szCs w:val="24"/>
          <w:u w:val="single"/>
        </w:rPr>
        <w:t>Work Undertaken by Internal Audit</w:t>
      </w:r>
      <w:r w:rsidR="00132C05" w:rsidRPr="00003384">
        <w:rPr>
          <w:rFonts w:ascii="Arial" w:hAnsi="Arial" w:cs="Arial"/>
          <w:b/>
          <w:szCs w:val="24"/>
          <w:u w:val="single"/>
        </w:rPr>
        <w:t xml:space="preserve"> &amp; Sources of Assurance </w:t>
      </w:r>
    </w:p>
    <w:p w:rsidR="00464E5E" w:rsidRDefault="00464E5E" w:rsidP="009349E0">
      <w:pPr>
        <w:pStyle w:val="BodyTextIndent"/>
        <w:ind w:left="567" w:hanging="567"/>
        <w:rPr>
          <w:rFonts w:ascii="Arial" w:hAnsi="Arial" w:cs="Arial"/>
          <w:szCs w:val="24"/>
          <w:u w:val="single"/>
        </w:rPr>
      </w:pPr>
    </w:p>
    <w:p w:rsidR="005235C9" w:rsidRDefault="005235C9" w:rsidP="005235C9">
      <w:pPr>
        <w:pStyle w:val="BodyTextIndent"/>
        <w:ind w:left="709" w:hanging="709"/>
        <w:rPr>
          <w:rFonts w:ascii="Arial" w:hAnsi="Arial" w:cs="Arial"/>
          <w:szCs w:val="24"/>
        </w:rPr>
      </w:pPr>
      <w:r>
        <w:rPr>
          <w:rFonts w:ascii="Arial" w:hAnsi="Arial" w:cs="Arial"/>
          <w:szCs w:val="24"/>
        </w:rPr>
        <w:t>3.2</w:t>
      </w:r>
      <w:r>
        <w:rPr>
          <w:rFonts w:ascii="Arial" w:hAnsi="Arial" w:cs="Arial"/>
          <w:szCs w:val="24"/>
        </w:rPr>
        <w:tab/>
        <w:t>During 2019/2020, Internal Audit reviewed and revised its focus to ensure full alignment with the Council’s strategic risks and to also place greater reliance upon real time assurance from proactive engagement with internal governance arrangements and also to place reliance upon other assurance providers as long as robust and reliable.</w:t>
      </w:r>
    </w:p>
    <w:p w:rsidR="005235C9" w:rsidRDefault="005235C9" w:rsidP="005235C9">
      <w:pPr>
        <w:pStyle w:val="BodyTextIndent"/>
        <w:ind w:left="709" w:hanging="709"/>
        <w:rPr>
          <w:rFonts w:ascii="Arial" w:hAnsi="Arial" w:cs="Arial"/>
          <w:szCs w:val="24"/>
        </w:rPr>
      </w:pPr>
    </w:p>
    <w:p w:rsidR="005235C9" w:rsidRDefault="005235C9" w:rsidP="005235C9">
      <w:pPr>
        <w:pStyle w:val="BodyTextIndent"/>
        <w:ind w:left="709" w:hanging="709"/>
        <w:rPr>
          <w:rFonts w:ascii="Arial" w:hAnsi="Arial" w:cs="Arial"/>
          <w:szCs w:val="24"/>
        </w:rPr>
      </w:pPr>
      <w:r>
        <w:rPr>
          <w:rFonts w:ascii="Arial" w:hAnsi="Arial" w:cs="Arial"/>
          <w:szCs w:val="24"/>
        </w:rPr>
        <w:t>3.3</w:t>
      </w:r>
      <w:r>
        <w:rPr>
          <w:rFonts w:ascii="Arial" w:hAnsi="Arial" w:cs="Arial"/>
          <w:szCs w:val="24"/>
        </w:rPr>
        <w:tab/>
        <w:t xml:space="preserve">The revised approach was </w:t>
      </w:r>
      <w:r w:rsidR="00A01CDF">
        <w:rPr>
          <w:rFonts w:ascii="Arial" w:hAnsi="Arial" w:cs="Arial"/>
          <w:szCs w:val="24"/>
        </w:rPr>
        <w:t xml:space="preserve">a key </w:t>
      </w:r>
      <w:r>
        <w:rPr>
          <w:rFonts w:ascii="Arial" w:hAnsi="Arial" w:cs="Arial"/>
          <w:szCs w:val="24"/>
        </w:rPr>
        <w:t xml:space="preserve">outcome of the transformation review </w:t>
      </w:r>
      <w:r w:rsidR="00A01CDF">
        <w:rPr>
          <w:rFonts w:ascii="Arial" w:hAnsi="Arial" w:cs="Arial"/>
          <w:szCs w:val="24"/>
        </w:rPr>
        <w:t xml:space="preserve">of Internal Audit </w:t>
      </w:r>
      <w:r>
        <w:rPr>
          <w:rFonts w:ascii="Arial" w:hAnsi="Arial" w:cs="Arial"/>
          <w:szCs w:val="24"/>
        </w:rPr>
        <w:t>that was undertaken during 2019/2020 and supported the downsizing of the Internal Audit Service to a revised establishment of the Corporate Assurance Manager, 1 Senior Auditor and a Trainee Auditor.</w:t>
      </w:r>
    </w:p>
    <w:p w:rsidR="005235C9" w:rsidRDefault="005235C9" w:rsidP="005235C9">
      <w:pPr>
        <w:pStyle w:val="BodyTextIndent"/>
        <w:ind w:left="709" w:hanging="709"/>
        <w:rPr>
          <w:rFonts w:ascii="Arial" w:hAnsi="Arial" w:cs="Arial"/>
          <w:szCs w:val="24"/>
        </w:rPr>
      </w:pPr>
    </w:p>
    <w:p w:rsidR="005235C9" w:rsidRDefault="005235C9" w:rsidP="00A01CDF">
      <w:pPr>
        <w:pStyle w:val="BodyTextIndent"/>
        <w:ind w:left="709" w:hanging="709"/>
        <w:rPr>
          <w:rFonts w:ascii="Arial" w:hAnsi="Arial" w:cs="Arial"/>
          <w:szCs w:val="24"/>
          <w:u w:val="single"/>
        </w:rPr>
      </w:pPr>
      <w:r>
        <w:rPr>
          <w:rFonts w:ascii="Arial" w:hAnsi="Arial" w:cs="Arial"/>
          <w:szCs w:val="24"/>
        </w:rPr>
        <w:t>3.4</w:t>
      </w:r>
      <w:r>
        <w:rPr>
          <w:rFonts w:ascii="Arial" w:hAnsi="Arial" w:cs="Arial"/>
          <w:szCs w:val="24"/>
        </w:rPr>
        <w:tab/>
        <w:t>As previously reported to this Committee, due to the Covid-19 pandemic, it was decided not to fill the post of Trainee Auditor during 2020/2021, resulting in the Internal Audit resource being less than would have been required in normal circumstances. However, efforts are currently being made to fill the vacancy in the next few months as the Council moves through the Covid-19 recovery period.</w:t>
      </w:r>
    </w:p>
    <w:p w:rsidR="005235C9" w:rsidRDefault="005235C9" w:rsidP="009349E0">
      <w:pPr>
        <w:pStyle w:val="BodyTextIndent"/>
        <w:ind w:left="567" w:hanging="567"/>
        <w:rPr>
          <w:rFonts w:ascii="Arial" w:hAnsi="Arial" w:cs="Arial"/>
          <w:szCs w:val="24"/>
          <w:u w:val="single"/>
        </w:rPr>
      </w:pPr>
    </w:p>
    <w:p w:rsidR="00221572" w:rsidRDefault="00221572" w:rsidP="00221572">
      <w:pPr>
        <w:pStyle w:val="Default"/>
        <w:ind w:left="720" w:hanging="720"/>
      </w:pPr>
      <w:r>
        <w:t>3.</w:t>
      </w:r>
      <w:r w:rsidR="005235C9">
        <w:t>5</w:t>
      </w:r>
      <w:r>
        <w:tab/>
        <w:t>As reported to the Governance</w:t>
      </w:r>
      <w:r w:rsidR="005235C9">
        <w:t xml:space="preserve"> &amp;</w:t>
      </w:r>
      <w:r>
        <w:t xml:space="preserve"> Standards Committee on </w:t>
      </w:r>
      <w:r w:rsidR="005235C9">
        <w:t>4 September 2020, i</w:t>
      </w:r>
      <w:r w:rsidRPr="00383F1C">
        <w:t xml:space="preserve">n response to the significant pressure placed on the Council to react effectively to the </w:t>
      </w:r>
      <w:r>
        <w:t>p</w:t>
      </w:r>
      <w:r w:rsidRPr="00383F1C">
        <w:t xml:space="preserve">andemic, Internal Audit activity </w:t>
      </w:r>
      <w:r>
        <w:t xml:space="preserve">in respect of undertaking system reviews </w:t>
      </w:r>
      <w:r w:rsidRPr="00383F1C">
        <w:t xml:space="preserve">was </w:t>
      </w:r>
      <w:r>
        <w:t>suspended</w:t>
      </w:r>
      <w:r w:rsidRPr="00383F1C">
        <w:t xml:space="preserve"> in April 2020. </w:t>
      </w:r>
      <w:r>
        <w:t>However, year-end financial checks and validation of the benefit subsidy claim were completed as planned.</w:t>
      </w:r>
    </w:p>
    <w:p w:rsidR="00221572" w:rsidRDefault="00221572" w:rsidP="00221572">
      <w:pPr>
        <w:pStyle w:val="Default"/>
        <w:ind w:left="720" w:hanging="720"/>
      </w:pPr>
    </w:p>
    <w:p w:rsidR="00221572" w:rsidRDefault="00221572" w:rsidP="00221572">
      <w:pPr>
        <w:pStyle w:val="Default"/>
        <w:ind w:left="720" w:hanging="720"/>
      </w:pPr>
      <w:r>
        <w:t>3.</w:t>
      </w:r>
      <w:r w:rsidR="005235C9">
        <w:t>6</w:t>
      </w:r>
      <w:r>
        <w:tab/>
        <w:t xml:space="preserve">It </w:t>
      </w:r>
      <w:r w:rsidR="005235C9">
        <w:t>wa</w:t>
      </w:r>
      <w:r>
        <w:t>s</w:t>
      </w:r>
      <w:r w:rsidR="005235C9">
        <w:t xml:space="preserve"> agreed</w:t>
      </w:r>
      <w:r>
        <w:t xml:space="preserve"> that the best method</w:t>
      </w:r>
      <w:r w:rsidRPr="00383F1C">
        <w:t xml:space="preserve"> to </w:t>
      </w:r>
      <w:r>
        <w:t xml:space="preserve">achieve adequate coverage </w:t>
      </w:r>
      <w:r w:rsidR="005235C9">
        <w:t>wa</w:t>
      </w:r>
      <w:r>
        <w:t>s to adopt a flexible planning approach informed by the following key themes:</w:t>
      </w:r>
    </w:p>
    <w:p w:rsidR="00221572" w:rsidRDefault="00221572" w:rsidP="00221572">
      <w:pPr>
        <w:pStyle w:val="Default"/>
        <w:ind w:left="720" w:hanging="720"/>
      </w:pPr>
    </w:p>
    <w:tbl>
      <w:tblPr>
        <w:tblStyle w:val="TableGrid"/>
        <w:tblW w:w="8914" w:type="dxa"/>
        <w:tblInd w:w="720" w:type="dxa"/>
        <w:tblLook w:val="04A0" w:firstRow="1" w:lastRow="0" w:firstColumn="1" w:lastColumn="0" w:noHBand="0" w:noVBand="1"/>
      </w:tblPr>
      <w:tblGrid>
        <w:gridCol w:w="3244"/>
        <w:gridCol w:w="5670"/>
      </w:tblGrid>
      <w:tr w:rsidR="00221572" w:rsidTr="00A01CDF">
        <w:tc>
          <w:tcPr>
            <w:tcW w:w="3244" w:type="dxa"/>
          </w:tcPr>
          <w:p w:rsidR="00221572" w:rsidRDefault="00221572" w:rsidP="00A01CDF">
            <w:pPr>
              <w:pStyle w:val="Default"/>
            </w:pPr>
            <w:r>
              <w:tab/>
              <w:t>Theme</w:t>
            </w:r>
          </w:p>
        </w:tc>
        <w:tc>
          <w:tcPr>
            <w:tcW w:w="5670" w:type="dxa"/>
          </w:tcPr>
          <w:p w:rsidR="00221572" w:rsidRDefault="00221572" w:rsidP="00210C51">
            <w:pPr>
              <w:pStyle w:val="Default"/>
              <w:jc w:val="center"/>
            </w:pPr>
            <w:r>
              <w:t>Audit Work</w:t>
            </w:r>
          </w:p>
          <w:p w:rsidR="00221572" w:rsidRDefault="00221572" w:rsidP="00210C51">
            <w:pPr>
              <w:pStyle w:val="Default"/>
              <w:jc w:val="center"/>
            </w:pPr>
          </w:p>
        </w:tc>
      </w:tr>
      <w:tr w:rsidR="00221572" w:rsidTr="00A01CDF">
        <w:tc>
          <w:tcPr>
            <w:tcW w:w="3244" w:type="dxa"/>
          </w:tcPr>
          <w:p w:rsidR="00221572" w:rsidRDefault="00221572" w:rsidP="00221572">
            <w:pPr>
              <w:pStyle w:val="Default"/>
              <w:numPr>
                <w:ilvl w:val="0"/>
                <w:numId w:val="23"/>
              </w:numPr>
              <w:ind w:left="296" w:hanging="296"/>
            </w:pPr>
            <w:r>
              <w:t>Assurance Mapping</w:t>
            </w:r>
          </w:p>
        </w:tc>
        <w:tc>
          <w:tcPr>
            <w:tcW w:w="5670" w:type="dxa"/>
          </w:tcPr>
          <w:p w:rsidR="00221572" w:rsidRPr="00A01CDF" w:rsidRDefault="00221572" w:rsidP="00210C51">
            <w:pPr>
              <w:pStyle w:val="Default"/>
            </w:pPr>
            <w:r w:rsidRPr="00A01CDF">
              <w:t>A questionnaire style enquiry will be carried out to gather information and determine any changes to the control and governance arrangements and document any available assurance that these controls are working effectively. Particular areas of focus will be to evaluate the strength of controls for the prevention of fraud and the management / security of data</w:t>
            </w:r>
          </w:p>
          <w:p w:rsidR="00221572" w:rsidRPr="00A01CDF" w:rsidRDefault="00221572" w:rsidP="00210C51">
            <w:pPr>
              <w:pStyle w:val="Default"/>
            </w:pPr>
            <w:r w:rsidRPr="00A01CDF">
              <w:t>.</w:t>
            </w:r>
          </w:p>
        </w:tc>
      </w:tr>
      <w:tr w:rsidR="00221572" w:rsidTr="00A01CDF">
        <w:tc>
          <w:tcPr>
            <w:tcW w:w="3244" w:type="dxa"/>
          </w:tcPr>
          <w:p w:rsidR="00221572" w:rsidRDefault="00221572" w:rsidP="00221572">
            <w:pPr>
              <w:pStyle w:val="Default"/>
              <w:numPr>
                <w:ilvl w:val="0"/>
                <w:numId w:val="23"/>
              </w:numPr>
              <w:ind w:left="296" w:hanging="283"/>
            </w:pPr>
            <w:r>
              <w:t>Key Controls</w:t>
            </w:r>
          </w:p>
        </w:tc>
        <w:tc>
          <w:tcPr>
            <w:tcW w:w="5670" w:type="dxa"/>
          </w:tcPr>
          <w:p w:rsidR="00221572" w:rsidRPr="00A01CDF" w:rsidRDefault="00221572" w:rsidP="00210C51">
            <w:pPr>
              <w:pStyle w:val="Default"/>
            </w:pPr>
            <w:r w:rsidRPr="00A01CDF">
              <w:t>In order to provide independent assurance over the effectiveness of the key financial and governance control framework during the pandemic, Internal Audit’s testing programme will be enhanced, based upon the results of the assurance mapping exercise detailed above, to cover any new controls</w:t>
            </w:r>
          </w:p>
          <w:p w:rsidR="00221572" w:rsidRPr="00A01CDF" w:rsidRDefault="00221572" w:rsidP="00210C51">
            <w:pPr>
              <w:pStyle w:val="Default"/>
            </w:pPr>
          </w:p>
        </w:tc>
      </w:tr>
      <w:tr w:rsidR="00221572" w:rsidTr="00A01CDF">
        <w:tc>
          <w:tcPr>
            <w:tcW w:w="3244" w:type="dxa"/>
          </w:tcPr>
          <w:p w:rsidR="00221572" w:rsidRDefault="00221572" w:rsidP="00221572">
            <w:pPr>
              <w:pStyle w:val="Default"/>
              <w:numPr>
                <w:ilvl w:val="0"/>
                <w:numId w:val="23"/>
              </w:numPr>
              <w:ind w:left="296" w:hanging="283"/>
            </w:pPr>
            <w:r>
              <w:t>Essential Areas of Assurance</w:t>
            </w:r>
          </w:p>
        </w:tc>
        <w:tc>
          <w:tcPr>
            <w:tcW w:w="5670" w:type="dxa"/>
          </w:tcPr>
          <w:p w:rsidR="00221572" w:rsidRPr="00A01CDF" w:rsidRDefault="00221572" w:rsidP="00210C51">
            <w:pPr>
              <w:pStyle w:val="Default"/>
            </w:pPr>
            <w:r w:rsidRPr="00A01CDF">
              <w:t>This work will ensure that areas from the original Plan for 2020/2021 that was agreed with senior management and are integral to forming an opinion on the governance, risk management and control framework for 2020/21 are still carried out</w:t>
            </w:r>
          </w:p>
          <w:p w:rsidR="005235C9" w:rsidRPr="00A01CDF" w:rsidRDefault="005235C9" w:rsidP="00210C51">
            <w:pPr>
              <w:pStyle w:val="Default"/>
            </w:pPr>
          </w:p>
        </w:tc>
      </w:tr>
    </w:tbl>
    <w:p w:rsidR="00464E5E" w:rsidRPr="00464E5E" w:rsidRDefault="00464E5E" w:rsidP="009349E0">
      <w:pPr>
        <w:pStyle w:val="BodyTextIndent"/>
        <w:ind w:left="567" w:hanging="567"/>
        <w:rPr>
          <w:rFonts w:ascii="Arial" w:hAnsi="Arial" w:cs="Arial"/>
          <w:szCs w:val="24"/>
        </w:rPr>
      </w:pPr>
    </w:p>
    <w:p w:rsidR="004A2EE1" w:rsidRDefault="004A2EE1" w:rsidP="009349E0">
      <w:pPr>
        <w:pStyle w:val="BodyTextIndent"/>
        <w:ind w:left="567" w:hanging="567"/>
        <w:rPr>
          <w:rFonts w:ascii="Arial" w:hAnsi="Arial" w:cs="Arial"/>
          <w:szCs w:val="24"/>
        </w:rPr>
      </w:pPr>
    </w:p>
    <w:p w:rsidR="002F6DC8" w:rsidRDefault="002F6DC8" w:rsidP="009349E0">
      <w:pPr>
        <w:pStyle w:val="BodyTextIndent"/>
        <w:ind w:left="567" w:hanging="567"/>
        <w:rPr>
          <w:rFonts w:ascii="Arial" w:hAnsi="Arial" w:cs="Arial"/>
          <w:szCs w:val="24"/>
        </w:rPr>
      </w:pPr>
    </w:p>
    <w:p w:rsidR="002F6DC8" w:rsidRDefault="002F6DC8" w:rsidP="009349E0">
      <w:pPr>
        <w:pStyle w:val="BodyTextIndent"/>
        <w:ind w:left="567" w:hanging="567"/>
        <w:rPr>
          <w:rFonts w:ascii="Arial" w:hAnsi="Arial" w:cs="Arial"/>
          <w:szCs w:val="24"/>
        </w:rPr>
      </w:pPr>
    </w:p>
    <w:p w:rsidR="002F6DC8" w:rsidRDefault="002F6DC8" w:rsidP="009349E0">
      <w:pPr>
        <w:pStyle w:val="BodyTextIndent"/>
        <w:ind w:left="567" w:hanging="567"/>
        <w:rPr>
          <w:rFonts w:ascii="Arial" w:hAnsi="Arial" w:cs="Arial"/>
          <w:szCs w:val="24"/>
        </w:rPr>
      </w:pPr>
    </w:p>
    <w:p w:rsidR="004A2EE1" w:rsidRDefault="004A2EE1" w:rsidP="005235C9">
      <w:pPr>
        <w:pStyle w:val="BodyTextIndent"/>
        <w:ind w:left="709" w:hanging="709"/>
        <w:rPr>
          <w:rFonts w:ascii="Arial" w:hAnsi="Arial" w:cs="Arial"/>
          <w:szCs w:val="24"/>
        </w:rPr>
      </w:pPr>
      <w:r>
        <w:rPr>
          <w:rFonts w:ascii="Arial" w:hAnsi="Arial" w:cs="Arial"/>
          <w:szCs w:val="24"/>
        </w:rPr>
        <w:t>3.</w:t>
      </w:r>
      <w:r w:rsidR="00A01CDF">
        <w:rPr>
          <w:rFonts w:ascii="Arial" w:hAnsi="Arial" w:cs="Arial"/>
          <w:szCs w:val="24"/>
        </w:rPr>
        <w:t>7</w:t>
      </w:r>
      <w:r w:rsidR="005235C9">
        <w:rPr>
          <w:rFonts w:ascii="Arial" w:hAnsi="Arial" w:cs="Arial"/>
          <w:szCs w:val="24"/>
        </w:rPr>
        <w:tab/>
        <w:t>The Corporate Assurance Manager contacted all Heads of Service and attended Departmental Management Team meetings to determine whether</w:t>
      </w:r>
      <w:r w:rsidR="002F6DC8">
        <w:rPr>
          <w:rFonts w:ascii="Arial" w:hAnsi="Arial" w:cs="Arial"/>
          <w:szCs w:val="24"/>
        </w:rPr>
        <w:t xml:space="preserve"> significant changes had been made to the Council’s risk management, internal control or governance arrangements due to the pandemic. The only significant area identified was in respect of the decision making procedures, particularly during the first lock down. This was reviewed by Internal Audit during 2020/2021.</w:t>
      </w:r>
    </w:p>
    <w:p w:rsidR="002F6DC8" w:rsidRDefault="002F6DC8" w:rsidP="005235C9">
      <w:pPr>
        <w:pStyle w:val="BodyTextIndent"/>
        <w:ind w:left="709" w:hanging="709"/>
        <w:rPr>
          <w:rFonts w:ascii="Arial" w:hAnsi="Arial" w:cs="Arial"/>
          <w:szCs w:val="24"/>
        </w:rPr>
      </w:pPr>
    </w:p>
    <w:p w:rsidR="002F6DC8" w:rsidRPr="004A2EE1" w:rsidRDefault="002F6DC8" w:rsidP="005235C9">
      <w:pPr>
        <w:pStyle w:val="BodyTextIndent"/>
        <w:ind w:left="709" w:hanging="709"/>
        <w:rPr>
          <w:rFonts w:ascii="Arial" w:hAnsi="Arial" w:cs="Arial"/>
          <w:szCs w:val="24"/>
        </w:rPr>
      </w:pPr>
      <w:r>
        <w:rPr>
          <w:rFonts w:ascii="Arial" w:hAnsi="Arial" w:cs="Arial"/>
          <w:szCs w:val="24"/>
        </w:rPr>
        <w:t>3.</w:t>
      </w:r>
      <w:r w:rsidR="00A01CDF">
        <w:rPr>
          <w:rFonts w:ascii="Arial" w:hAnsi="Arial" w:cs="Arial"/>
          <w:szCs w:val="24"/>
        </w:rPr>
        <w:t>8</w:t>
      </w:r>
      <w:r>
        <w:rPr>
          <w:rFonts w:ascii="Arial" w:hAnsi="Arial" w:cs="Arial"/>
          <w:szCs w:val="24"/>
        </w:rPr>
        <w:tab/>
        <w:t>The work undertaken by Internal Audit during 2020/2021 has therefore focussed on carrying out reviews of the Council’s governance framework to inform the AGS and gaining assurance as to the effectiveness of the Council’s management of its strategic risks.</w:t>
      </w:r>
    </w:p>
    <w:p w:rsidR="00CE34A4" w:rsidRPr="00CE34A4" w:rsidRDefault="00CE34A4" w:rsidP="009349E0">
      <w:pPr>
        <w:pStyle w:val="BodyTextIndent"/>
        <w:ind w:left="567" w:hanging="567"/>
        <w:rPr>
          <w:rFonts w:ascii="Arial" w:hAnsi="Arial" w:cs="Arial"/>
          <w:szCs w:val="24"/>
        </w:rPr>
      </w:pPr>
    </w:p>
    <w:p w:rsidR="00DB1318" w:rsidRDefault="00C931B5" w:rsidP="009761B9">
      <w:pPr>
        <w:pStyle w:val="BodyTextIndent"/>
        <w:ind w:left="709" w:hanging="709"/>
        <w:rPr>
          <w:rFonts w:ascii="Arial" w:hAnsi="Arial" w:cs="Arial"/>
          <w:szCs w:val="24"/>
        </w:rPr>
      </w:pPr>
      <w:r>
        <w:rPr>
          <w:rFonts w:ascii="Arial" w:hAnsi="Arial" w:cs="Arial"/>
          <w:szCs w:val="24"/>
        </w:rPr>
        <w:t>3.</w:t>
      </w:r>
      <w:r w:rsidR="00A01CDF">
        <w:rPr>
          <w:rFonts w:ascii="Arial" w:hAnsi="Arial" w:cs="Arial"/>
          <w:szCs w:val="24"/>
        </w:rPr>
        <w:t>9</w:t>
      </w:r>
      <w:r w:rsidR="00C27099">
        <w:rPr>
          <w:rFonts w:ascii="Arial" w:hAnsi="Arial" w:cs="Arial"/>
          <w:szCs w:val="24"/>
        </w:rPr>
        <w:tab/>
      </w:r>
      <w:r w:rsidR="009761B9">
        <w:rPr>
          <w:rFonts w:ascii="Arial" w:hAnsi="Arial" w:cs="Arial"/>
          <w:szCs w:val="24"/>
        </w:rPr>
        <w:tab/>
      </w:r>
      <w:r w:rsidR="00DB1318">
        <w:rPr>
          <w:rFonts w:ascii="Arial" w:hAnsi="Arial" w:cs="Arial"/>
          <w:szCs w:val="24"/>
        </w:rPr>
        <w:t>The work undertaken by Internal Audit during 20</w:t>
      </w:r>
      <w:r w:rsidR="0057782A">
        <w:rPr>
          <w:rFonts w:ascii="Arial" w:hAnsi="Arial" w:cs="Arial"/>
          <w:szCs w:val="24"/>
        </w:rPr>
        <w:t>20</w:t>
      </w:r>
      <w:r w:rsidR="00DB1318">
        <w:rPr>
          <w:rFonts w:ascii="Arial" w:hAnsi="Arial" w:cs="Arial"/>
          <w:szCs w:val="24"/>
        </w:rPr>
        <w:t>/20</w:t>
      </w:r>
      <w:r w:rsidR="004426E0">
        <w:rPr>
          <w:rFonts w:ascii="Arial" w:hAnsi="Arial" w:cs="Arial"/>
          <w:szCs w:val="24"/>
        </w:rPr>
        <w:t>2</w:t>
      </w:r>
      <w:r w:rsidR="0057782A">
        <w:rPr>
          <w:rFonts w:ascii="Arial" w:hAnsi="Arial" w:cs="Arial"/>
          <w:szCs w:val="24"/>
        </w:rPr>
        <w:t>1</w:t>
      </w:r>
      <w:r w:rsidR="00DB1318">
        <w:rPr>
          <w:rFonts w:ascii="Arial" w:hAnsi="Arial" w:cs="Arial"/>
          <w:szCs w:val="24"/>
        </w:rPr>
        <w:t xml:space="preserve"> is detailed in </w:t>
      </w:r>
      <w:r w:rsidR="0061493F">
        <w:rPr>
          <w:rFonts w:ascii="Arial" w:hAnsi="Arial" w:cs="Arial"/>
          <w:szCs w:val="24"/>
        </w:rPr>
        <w:t>Table</w:t>
      </w:r>
      <w:r w:rsidR="00DB1318">
        <w:rPr>
          <w:rFonts w:ascii="Arial" w:hAnsi="Arial" w:cs="Arial"/>
          <w:szCs w:val="24"/>
        </w:rPr>
        <w:t xml:space="preserve"> 1</w:t>
      </w:r>
      <w:r w:rsidR="0061493F">
        <w:rPr>
          <w:rFonts w:ascii="Arial" w:hAnsi="Arial" w:cs="Arial"/>
          <w:szCs w:val="24"/>
        </w:rPr>
        <w:t xml:space="preserve"> below</w:t>
      </w:r>
      <w:r w:rsidR="00063E5C">
        <w:rPr>
          <w:rFonts w:ascii="Arial" w:hAnsi="Arial" w:cs="Arial"/>
          <w:szCs w:val="24"/>
        </w:rPr>
        <w:t>, which includes the key areas covered and the days actually spent against the target allocation. The reasons for any significant variances are detailed in the “Notes” section.</w:t>
      </w:r>
    </w:p>
    <w:p w:rsidR="003D75BA" w:rsidRDefault="003D75BA" w:rsidP="009761B9">
      <w:pPr>
        <w:pStyle w:val="BodyTextIndent"/>
        <w:ind w:left="709" w:hanging="709"/>
        <w:rPr>
          <w:rFonts w:ascii="Arial" w:hAnsi="Arial" w:cs="Arial"/>
          <w:szCs w:val="24"/>
        </w:rPr>
      </w:pPr>
    </w:p>
    <w:p w:rsidR="006607AE" w:rsidRDefault="003D75BA" w:rsidP="00D7530D">
      <w:pPr>
        <w:pStyle w:val="BodyTextIndent"/>
        <w:ind w:left="709" w:hanging="709"/>
        <w:rPr>
          <w:rFonts w:ascii="Arial" w:hAnsi="Arial" w:cs="Arial"/>
          <w:szCs w:val="24"/>
        </w:rPr>
      </w:pPr>
      <w:r>
        <w:rPr>
          <w:rFonts w:ascii="Arial" w:hAnsi="Arial" w:cs="Arial"/>
          <w:szCs w:val="24"/>
        </w:rPr>
        <w:t>3.</w:t>
      </w:r>
      <w:r w:rsidR="002F6DC8">
        <w:rPr>
          <w:rFonts w:ascii="Arial" w:hAnsi="Arial" w:cs="Arial"/>
          <w:szCs w:val="24"/>
        </w:rPr>
        <w:t>1</w:t>
      </w:r>
      <w:r w:rsidR="00A01CDF">
        <w:rPr>
          <w:rFonts w:ascii="Arial" w:hAnsi="Arial" w:cs="Arial"/>
          <w:szCs w:val="24"/>
        </w:rPr>
        <w:t>0</w:t>
      </w:r>
      <w:r w:rsidR="00E10050">
        <w:rPr>
          <w:rFonts w:ascii="Arial" w:hAnsi="Arial" w:cs="Arial"/>
          <w:szCs w:val="24"/>
        </w:rPr>
        <w:tab/>
      </w:r>
      <w:r w:rsidR="00454C3D">
        <w:rPr>
          <w:rFonts w:ascii="Arial" w:hAnsi="Arial" w:cs="Arial"/>
          <w:szCs w:val="24"/>
        </w:rPr>
        <w:tab/>
      </w:r>
      <w:r w:rsidR="0057782A">
        <w:rPr>
          <w:rFonts w:ascii="Arial" w:hAnsi="Arial" w:cs="Arial"/>
          <w:szCs w:val="24"/>
        </w:rPr>
        <w:t xml:space="preserve">The areas of real time </w:t>
      </w:r>
      <w:r w:rsidR="00A01CDF">
        <w:rPr>
          <w:rFonts w:ascii="Arial" w:hAnsi="Arial" w:cs="Arial"/>
          <w:szCs w:val="24"/>
        </w:rPr>
        <w:t xml:space="preserve">proactive </w:t>
      </w:r>
      <w:r w:rsidR="0057782A">
        <w:rPr>
          <w:rFonts w:ascii="Arial" w:hAnsi="Arial" w:cs="Arial"/>
          <w:szCs w:val="24"/>
        </w:rPr>
        <w:t xml:space="preserve">assurance </w:t>
      </w:r>
      <w:r w:rsidR="00525E8D">
        <w:rPr>
          <w:rFonts w:ascii="Arial" w:hAnsi="Arial" w:cs="Arial"/>
          <w:szCs w:val="24"/>
        </w:rPr>
        <w:t xml:space="preserve">relating to the Council’s strategic risks which have been </w:t>
      </w:r>
      <w:r w:rsidR="0057782A">
        <w:rPr>
          <w:rFonts w:ascii="Arial" w:hAnsi="Arial" w:cs="Arial"/>
          <w:szCs w:val="24"/>
        </w:rPr>
        <w:t>relied upon by the Corporate Assurance Manager</w:t>
      </w:r>
      <w:r w:rsidR="00D7530D">
        <w:rPr>
          <w:rFonts w:ascii="Arial" w:hAnsi="Arial" w:cs="Arial"/>
          <w:szCs w:val="24"/>
        </w:rPr>
        <w:t xml:space="preserve"> </w:t>
      </w:r>
      <w:r w:rsidR="0057782A">
        <w:rPr>
          <w:rFonts w:ascii="Arial" w:hAnsi="Arial" w:cs="Arial"/>
          <w:szCs w:val="24"/>
        </w:rPr>
        <w:t xml:space="preserve">in the formulation of his opinion, along with any gaps identified and the actions proposed to address them are detailed in Table 2 below.  </w:t>
      </w:r>
    </w:p>
    <w:p w:rsidR="00C50BB2" w:rsidRDefault="00C50BB2" w:rsidP="00D7530D">
      <w:pPr>
        <w:pStyle w:val="BodyTextIndent"/>
        <w:ind w:left="709" w:hanging="709"/>
        <w:rPr>
          <w:rFonts w:ascii="Arial" w:hAnsi="Arial" w:cs="Arial"/>
          <w:szCs w:val="24"/>
        </w:rPr>
      </w:pPr>
    </w:p>
    <w:p w:rsidR="0057782A" w:rsidRDefault="0057782A" w:rsidP="00300E33">
      <w:pPr>
        <w:pStyle w:val="BodyTextIndent"/>
        <w:ind w:left="709" w:hanging="709"/>
        <w:rPr>
          <w:rFonts w:ascii="Arial" w:hAnsi="Arial" w:cs="Arial"/>
          <w:szCs w:val="24"/>
        </w:rPr>
        <w:sectPr w:rsidR="0057782A" w:rsidSect="004266C0">
          <w:pgSz w:w="12240" w:h="15840"/>
          <w:pgMar w:top="1440" w:right="1800" w:bottom="1440" w:left="1800" w:header="720" w:footer="720" w:gutter="0"/>
          <w:cols w:space="720"/>
          <w:docGrid w:linePitch="272"/>
        </w:sectPr>
      </w:pPr>
    </w:p>
    <w:p w:rsidR="00063E5C" w:rsidRDefault="00F17AEA" w:rsidP="00063E5C">
      <w:pPr>
        <w:autoSpaceDE w:val="0"/>
        <w:autoSpaceDN w:val="0"/>
        <w:adjustRightInd w:val="0"/>
        <w:rPr>
          <w:rFonts w:ascii="Arial" w:hAnsi="Arial" w:cs="Arial"/>
          <w:color w:val="000000"/>
          <w:sz w:val="24"/>
          <w:szCs w:val="24"/>
          <w:lang w:eastAsia="en-GB"/>
        </w:rPr>
      </w:pPr>
      <w:r>
        <w:rPr>
          <w:rFonts w:ascii="Arial" w:hAnsi="Arial" w:cs="Arial"/>
          <w:b/>
          <w:color w:val="000000"/>
          <w:sz w:val="24"/>
          <w:szCs w:val="24"/>
          <w:u w:val="single"/>
          <w:lang w:eastAsia="en-GB"/>
        </w:rPr>
        <w:t xml:space="preserve">Table1: </w:t>
      </w:r>
      <w:r w:rsidR="00063E5C">
        <w:rPr>
          <w:rFonts w:ascii="Arial" w:hAnsi="Arial" w:cs="Arial"/>
          <w:b/>
          <w:color w:val="000000"/>
          <w:sz w:val="24"/>
          <w:szCs w:val="24"/>
          <w:u w:val="single"/>
          <w:lang w:eastAsia="en-GB"/>
        </w:rPr>
        <w:t>Internal Audit Work Delivered During 2020/2021</w:t>
      </w:r>
    </w:p>
    <w:p w:rsidR="00063E5C" w:rsidRPr="0079262B" w:rsidRDefault="00063E5C" w:rsidP="00063E5C">
      <w:pPr>
        <w:autoSpaceDE w:val="0"/>
        <w:autoSpaceDN w:val="0"/>
        <w:adjustRightInd w:val="0"/>
        <w:jc w:val="right"/>
        <w:rPr>
          <w:rFonts w:ascii="Arial" w:hAnsi="Arial" w:cs="Arial"/>
          <w:color w:val="000000"/>
          <w:sz w:val="24"/>
          <w:szCs w:val="24"/>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072"/>
        <w:gridCol w:w="5203"/>
        <w:gridCol w:w="1394"/>
        <w:gridCol w:w="1394"/>
      </w:tblGrid>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p>
        </w:tc>
        <w:tc>
          <w:tcPr>
            <w:tcW w:w="4544" w:type="pct"/>
            <w:gridSpan w:val="4"/>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p>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rsidR="00063E5C" w:rsidRPr="0079262B" w:rsidRDefault="00063E5C" w:rsidP="00210C51">
            <w:pPr>
              <w:autoSpaceDE w:val="0"/>
              <w:autoSpaceDN w:val="0"/>
              <w:adjustRightInd w:val="0"/>
              <w:rPr>
                <w:rFonts w:ascii="Arial" w:hAnsi="Arial" w:cs="Arial"/>
                <w:color w:val="000000"/>
                <w:sz w:val="24"/>
                <w:szCs w:val="24"/>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Compliance with the Council’s Corporate Risk and Opportunity Management strategy </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13</w:t>
            </w:r>
            <w:r w:rsidRPr="0079262B">
              <w:rPr>
                <w:rFonts w:ascii="Arial" w:hAnsi="Arial" w:cs="Arial"/>
                <w:color w:val="000000"/>
                <w:sz w:val="24"/>
                <w:szCs w:val="24"/>
                <w:lang w:eastAsia="en-GB"/>
              </w:rPr>
              <w:t>.00</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&amp; Purchasing Arrangements</w:t>
            </w: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rPr>
                <w:rFonts w:ascii="Arial" w:hAnsi="Arial" w:cs="Arial"/>
                <w:color w:val="000000"/>
                <w:sz w:val="24"/>
                <w:szCs w:val="24"/>
                <w:lang w:eastAsia="en-GB"/>
              </w:rPr>
            </w:pPr>
            <w:r w:rsidRPr="0079262B">
              <w:rPr>
                <w:rFonts w:ascii="Arial" w:hAnsi="Arial" w:cs="Arial"/>
                <w:color w:val="000000"/>
                <w:sz w:val="24"/>
                <w:szCs w:val="24"/>
                <w:lang w:eastAsia="en-GB"/>
              </w:rPr>
              <w:t>Compliance with the Council’s Contract Procedure Rules and accompanying procurement guidance / effective delivery of client management arrangements in respect of the contract with Nottingham City’s Procurement Service / effective implementation of the Council’s Procurement Strategy and guidance on the use of procurement cards and the raising of orders</w:t>
            </w:r>
          </w:p>
          <w:p w:rsidR="00063E5C" w:rsidRPr="0079262B" w:rsidRDefault="00063E5C" w:rsidP="00210C51">
            <w:pPr>
              <w:autoSpaceDE w:val="0"/>
              <w:autoSpaceDN w:val="0"/>
              <w:adjustRightInd w:val="0"/>
              <w:rPr>
                <w:rFonts w:ascii="Arial" w:hAnsi="Arial" w:cs="Arial"/>
                <w:color w:val="000000"/>
                <w:sz w:val="24"/>
                <w:szCs w:val="24"/>
                <w:lang w:eastAsia="en-GB"/>
              </w:rPr>
            </w:pPr>
          </w:p>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AB0A00" w:rsidP="00851D2E">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45</w:t>
            </w:r>
            <w:r w:rsidR="00063E5C">
              <w:rPr>
                <w:rFonts w:ascii="Arial" w:hAnsi="Arial" w:cs="Arial"/>
                <w:color w:val="000000"/>
                <w:sz w:val="24"/>
                <w:szCs w:val="24"/>
                <w:lang w:eastAsia="en-GB"/>
              </w:rPr>
              <w:t>.00</w:t>
            </w:r>
          </w:p>
        </w:tc>
        <w:tc>
          <w:tcPr>
            <w:tcW w:w="525" w:type="pct"/>
            <w:tcBorders>
              <w:top w:val="single" w:sz="4" w:space="0" w:color="auto"/>
              <w:left w:val="single" w:sz="4" w:space="0" w:color="auto"/>
              <w:bottom w:val="single" w:sz="4" w:space="0" w:color="auto"/>
              <w:right w:val="single" w:sz="4" w:space="0" w:color="auto"/>
            </w:tcBorders>
            <w:hideMark/>
          </w:tcPr>
          <w:p w:rsidR="00063E5C"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58</w:t>
            </w:r>
            <w:r w:rsidRPr="0079262B">
              <w:rPr>
                <w:rFonts w:ascii="Arial" w:hAnsi="Arial" w:cs="Arial"/>
                <w:color w:val="000000"/>
                <w:sz w:val="24"/>
                <w:szCs w:val="24"/>
                <w:lang w:eastAsia="en-GB"/>
              </w:rPr>
              <w:t>.</w:t>
            </w:r>
            <w:r>
              <w:rPr>
                <w:rFonts w:ascii="Arial" w:hAnsi="Arial" w:cs="Arial"/>
                <w:color w:val="000000"/>
                <w:sz w:val="24"/>
                <w:szCs w:val="24"/>
                <w:lang w:eastAsia="en-GB"/>
              </w:rPr>
              <w:t>5</w:t>
            </w:r>
            <w:r w:rsidRPr="0079262B">
              <w:rPr>
                <w:rFonts w:ascii="Arial" w:hAnsi="Arial" w:cs="Arial"/>
                <w:color w:val="000000"/>
                <w:sz w:val="24"/>
                <w:szCs w:val="24"/>
                <w:lang w:eastAsia="en-GB"/>
              </w:rPr>
              <w:t>0</w:t>
            </w:r>
          </w:p>
          <w:p w:rsidR="00E774E7" w:rsidRPr="0079262B" w:rsidRDefault="00E774E7"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1)</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063E5C" w:rsidRDefault="00063E5C" w:rsidP="00210C5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Decision Making Arrangements during Covid-19</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063E5C" w:rsidRDefault="00063E5C" w:rsidP="00210C51">
            <w:pPr>
              <w:rPr>
                <w:rFonts w:ascii="Arial" w:hAnsi="Arial" w:cs="Arial"/>
                <w:color w:val="000000"/>
                <w:sz w:val="24"/>
                <w:szCs w:val="24"/>
                <w:lang w:eastAsia="en-GB"/>
              </w:rPr>
            </w:pPr>
            <w:r>
              <w:rPr>
                <w:rFonts w:ascii="Arial" w:hAnsi="Arial" w:cs="Arial"/>
                <w:color w:val="000000"/>
                <w:sz w:val="24"/>
                <w:szCs w:val="24"/>
                <w:lang w:eastAsia="en-GB"/>
              </w:rPr>
              <w:t>Assurance that the emergency arrangements were formally documented and that relevant decisions were fully recorded and in compliance with issued guidance</w:t>
            </w:r>
          </w:p>
          <w:p w:rsidR="00063E5C" w:rsidRDefault="00063E5C" w:rsidP="00210C51">
            <w:pPr>
              <w:rPr>
                <w:rFonts w:ascii="Arial" w:hAnsi="Arial" w:cs="Arial"/>
                <w:color w:val="000000"/>
                <w:sz w:val="24"/>
                <w:szCs w:val="24"/>
                <w:lang w:eastAsia="en-GB"/>
              </w:rPr>
            </w:pPr>
          </w:p>
          <w:p w:rsidR="00063E5C" w:rsidRDefault="00063E5C" w:rsidP="00210C51">
            <w:pPr>
              <w:rPr>
                <w:rFonts w:ascii="Arial" w:hAnsi="Arial" w:cs="Arial"/>
                <w:color w:val="000000"/>
                <w:sz w:val="24"/>
                <w:szCs w:val="24"/>
                <w:lang w:eastAsia="en-GB"/>
              </w:rPr>
            </w:pPr>
          </w:p>
          <w:p w:rsidR="00063E5C" w:rsidRDefault="00063E5C" w:rsidP="00210C51">
            <w:pPr>
              <w:rPr>
                <w:rFonts w:ascii="Arial" w:hAnsi="Arial" w:cs="Arial"/>
                <w:color w:val="000000"/>
                <w:sz w:val="24"/>
                <w:szCs w:val="24"/>
                <w:lang w:eastAsia="en-GB"/>
              </w:rPr>
            </w:pPr>
          </w:p>
          <w:p w:rsidR="00063E5C" w:rsidRPr="0079262B" w:rsidRDefault="00063E5C" w:rsidP="00210C51">
            <w:pPr>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4.00</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4.00</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rsidR="00063E5C" w:rsidRPr="0079262B" w:rsidRDefault="00063E5C" w:rsidP="00210C51">
            <w:pPr>
              <w:autoSpaceDE w:val="0"/>
              <w:autoSpaceDN w:val="0"/>
              <w:adjustRightInd w:val="0"/>
              <w:rPr>
                <w:rFonts w:ascii="Arial" w:hAnsi="Arial" w:cs="Arial"/>
                <w:color w:val="000000"/>
                <w:sz w:val="24"/>
                <w:szCs w:val="24"/>
                <w:lang w:eastAsia="en-GB"/>
              </w:rPr>
            </w:pP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rsidR="00063E5C"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40.00</w:t>
            </w: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47</w:t>
            </w:r>
            <w:r w:rsidRPr="0079262B">
              <w:rPr>
                <w:rFonts w:ascii="Arial" w:hAnsi="Arial" w:cs="Arial"/>
                <w:color w:val="000000"/>
                <w:sz w:val="24"/>
                <w:szCs w:val="24"/>
                <w:lang w:eastAsia="en-GB"/>
              </w:rPr>
              <w:t>.</w:t>
            </w:r>
            <w:r>
              <w:rPr>
                <w:rFonts w:ascii="Arial" w:hAnsi="Arial" w:cs="Arial"/>
                <w:color w:val="000000"/>
                <w:sz w:val="24"/>
                <w:szCs w:val="24"/>
                <w:lang w:eastAsia="en-GB"/>
              </w:rPr>
              <w:t>5</w:t>
            </w:r>
            <w:r w:rsidRPr="0079262B">
              <w:rPr>
                <w:rFonts w:ascii="Arial" w:hAnsi="Arial" w:cs="Arial"/>
                <w:color w:val="000000"/>
                <w:sz w:val="24"/>
                <w:szCs w:val="24"/>
                <w:lang w:eastAsia="en-GB"/>
              </w:rPr>
              <w:t>0</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063E5C" w:rsidRDefault="00063E5C" w:rsidP="00210C5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Governance Reviews &amp; Assurance Framework </w:t>
            </w:r>
          </w:p>
        </w:tc>
        <w:tc>
          <w:tcPr>
            <w:tcW w:w="1960" w:type="pct"/>
            <w:tcBorders>
              <w:top w:val="single" w:sz="4" w:space="0" w:color="auto"/>
              <w:left w:val="single" w:sz="4" w:space="0" w:color="auto"/>
              <w:bottom w:val="single" w:sz="4" w:space="0" w:color="auto"/>
              <w:right w:val="single" w:sz="4" w:space="0" w:color="auto"/>
            </w:tcBorders>
          </w:tcPr>
          <w:p w:rsidR="00063E5C" w:rsidRDefault="00063E5C" w:rsidP="00210C5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Assessment of compliance with the Council’s Code of Corporate Governance / preparation of Annual Governance Statements / evaluation of the Council’s ethical governance arrangements  </w:t>
            </w:r>
          </w:p>
          <w:p w:rsidR="00063E5C" w:rsidRDefault="00063E5C" w:rsidP="00210C51">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063E5C"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25.00</w:t>
            </w:r>
          </w:p>
        </w:tc>
        <w:tc>
          <w:tcPr>
            <w:tcW w:w="525" w:type="pct"/>
            <w:tcBorders>
              <w:top w:val="single" w:sz="4" w:space="0" w:color="auto"/>
              <w:left w:val="single" w:sz="4" w:space="0" w:color="auto"/>
              <w:bottom w:val="single" w:sz="4" w:space="0" w:color="auto"/>
              <w:right w:val="single" w:sz="4" w:space="0" w:color="auto"/>
            </w:tcBorders>
          </w:tcPr>
          <w:p w:rsidR="00063E5C"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24.25</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Counter Fraud Testing &amp; NFI</w:t>
            </w:r>
          </w:p>
        </w:tc>
        <w:tc>
          <w:tcPr>
            <w:tcW w:w="1960"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Delivery of Internal Audit’s counter fraud testing programme which is linked to the Council’s Fraud Risk Register / key contact responsibilities for NFI</w:t>
            </w:r>
          </w:p>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20.00</w:t>
            </w: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22</w:t>
            </w:r>
            <w:r w:rsidRPr="0079262B">
              <w:rPr>
                <w:rFonts w:ascii="Arial" w:hAnsi="Arial" w:cs="Arial"/>
                <w:color w:val="000000"/>
                <w:sz w:val="24"/>
                <w:szCs w:val="24"/>
                <w:lang w:eastAsia="en-GB"/>
              </w:rPr>
              <w:t>.</w:t>
            </w:r>
            <w:r>
              <w:rPr>
                <w:rFonts w:ascii="Arial" w:hAnsi="Arial" w:cs="Arial"/>
                <w:color w:val="000000"/>
                <w:sz w:val="24"/>
                <w:szCs w:val="24"/>
                <w:lang w:eastAsia="en-GB"/>
              </w:rPr>
              <w:t>25</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p>
        </w:tc>
        <w:tc>
          <w:tcPr>
            <w:tcW w:w="4544" w:type="pct"/>
            <w:gridSpan w:val="4"/>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p>
          <w:p w:rsidR="00063E5C" w:rsidRPr="0079262B" w:rsidRDefault="00063E5C" w:rsidP="00210C51">
            <w:pPr>
              <w:shd w:val="pct25" w:color="auto" w:fill="auto"/>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Probity / Security of Assets</w:t>
            </w:r>
          </w:p>
          <w:p w:rsidR="00063E5C" w:rsidRPr="0079262B" w:rsidRDefault="00063E5C" w:rsidP="00210C51">
            <w:pPr>
              <w:autoSpaceDE w:val="0"/>
              <w:autoSpaceDN w:val="0"/>
              <w:adjustRightInd w:val="0"/>
              <w:rPr>
                <w:rFonts w:ascii="Arial" w:hAnsi="Arial" w:cs="Arial"/>
                <w:color w:val="000000"/>
                <w:sz w:val="24"/>
                <w:szCs w:val="24"/>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Payroll (Shared Service with Ashfield District Council)</w:t>
            </w: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Validation of key controls in respect of starters / leavers / payment processes / performance management</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1</w:t>
            </w:r>
            <w:r>
              <w:rPr>
                <w:rFonts w:ascii="Arial" w:hAnsi="Arial" w:cs="Arial"/>
                <w:color w:val="000000"/>
                <w:sz w:val="24"/>
                <w:szCs w:val="24"/>
                <w:lang w:eastAsia="en-GB"/>
              </w:rPr>
              <w:t>3</w:t>
            </w:r>
            <w:r w:rsidRPr="0079262B">
              <w:rPr>
                <w:rFonts w:ascii="Arial" w:hAnsi="Arial" w:cs="Arial"/>
                <w:color w:val="000000"/>
                <w:sz w:val="24"/>
                <w:szCs w:val="24"/>
                <w:lang w:eastAsia="en-GB"/>
              </w:rPr>
              <w:t>.</w:t>
            </w:r>
            <w:r>
              <w:rPr>
                <w:rFonts w:ascii="Arial" w:hAnsi="Arial" w:cs="Arial"/>
                <w:color w:val="000000"/>
                <w:sz w:val="24"/>
                <w:szCs w:val="24"/>
                <w:lang w:eastAsia="en-GB"/>
              </w:rPr>
              <w:t>5</w:t>
            </w:r>
            <w:r w:rsidRPr="0079262B">
              <w:rPr>
                <w:rFonts w:ascii="Arial" w:hAnsi="Arial" w:cs="Arial"/>
                <w:color w:val="000000"/>
                <w:sz w:val="24"/>
                <w:szCs w:val="24"/>
                <w:lang w:eastAsia="en-GB"/>
              </w:rPr>
              <w:t>0</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063E5C"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IT</w:t>
            </w:r>
          </w:p>
          <w:p w:rsidR="00063E5C" w:rsidRDefault="00063E5C" w:rsidP="00210C51">
            <w:pPr>
              <w:autoSpaceDE w:val="0"/>
              <w:autoSpaceDN w:val="0"/>
              <w:adjustRightInd w:val="0"/>
              <w:rPr>
                <w:rFonts w:ascii="Arial" w:hAnsi="Arial" w:cs="Arial"/>
                <w:color w:val="000000"/>
                <w:sz w:val="24"/>
                <w:szCs w:val="24"/>
                <w:lang w:eastAsia="en-GB"/>
              </w:rPr>
            </w:pPr>
          </w:p>
          <w:p w:rsidR="00063E5C" w:rsidRDefault="00063E5C" w:rsidP="00210C51">
            <w:pPr>
              <w:autoSpaceDE w:val="0"/>
              <w:autoSpaceDN w:val="0"/>
              <w:adjustRightInd w:val="0"/>
              <w:rPr>
                <w:rFonts w:ascii="Arial" w:hAnsi="Arial" w:cs="Arial"/>
                <w:color w:val="000000"/>
                <w:sz w:val="24"/>
                <w:szCs w:val="24"/>
                <w:lang w:eastAsia="en-GB"/>
              </w:rPr>
            </w:pPr>
          </w:p>
          <w:p w:rsidR="00063E5C" w:rsidRDefault="00063E5C" w:rsidP="00210C51">
            <w:pPr>
              <w:autoSpaceDE w:val="0"/>
              <w:autoSpaceDN w:val="0"/>
              <w:adjustRightInd w:val="0"/>
              <w:rPr>
                <w:rFonts w:ascii="Arial" w:hAnsi="Arial" w:cs="Arial"/>
                <w:color w:val="000000"/>
                <w:sz w:val="24"/>
                <w:szCs w:val="24"/>
                <w:lang w:eastAsia="en-GB"/>
              </w:rPr>
            </w:pP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rPr>
                <w:rFonts w:ascii="Arial" w:hAnsi="Arial" w:cs="Arial"/>
                <w:color w:val="000000"/>
                <w:sz w:val="24"/>
                <w:szCs w:val="24"/>
                <w:lang w:eastAsia="en-GB"/>
              </w:rPr>
            </w:pPr>
            <w:r w:rsidRPr="0079262B">
              <w:rPr>
                <w:rFonts w:ascii="Arial" w:hAnsi="Arial" w:cs="Arial"/>
                <w:color w:val="000000"/>
                <w:sz w:val="24"/>
                <w:szCs w:val="24"/>
                <w:lang w:eastAsia="en-GB"/>
              </w:rPr>
              <w:t>Validation of key controls in respect of cyber security arrangements / inventory control / licence control / business continuity arrangements / network resilience testing / performance management</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10.00</w:t>
            </w: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jc w:val="center"/>
              <w:rPr>
                <w:rFonts w:ascii="Arial" w:hAnsi="Arial" w:cs="Arial"/>
                <w:sz w:val="24"/>
                <w:szCs w:val="24"/>
                <w:lang w:eastAsia="en-GB"/>
              </w:rPr>
            </w:pPr>
            <w:r>
              <w:rPr>
                <w:rFonts w:ascii="Arial" w:hAnsi="Arial" w:cs="Arial"/>
                <w:sz w:val="24"/>
                <w:szCs w:val="24"/>
                <w:lang w:eastAsia="en-GB"/>
              </w:rPr>
              <w:t>7.00</w:t>
            </w: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Pr>
                <w:rFonts w:ascii="Arial" w:hAnsi="Arial" w:cs="Arial"/>
                <w:b/>
                <w:color w:val="000000"/>
                <w:sz w:val="24"/>
                <w:szCs w:val="24"/>
                <w:u w:val="single"/>
                <w:lang w:eastAsia="en-GB"/>
              </w:rPr>
              <w:t>Days Allocated</w:t>
            </w:r>
          </w:p>
        </w:tc>
        <w:tc>
          <w:tcPr>
            <w:tcW w:w="525"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Days </w:t>
            </w:r>
            <w:r>
              <w:rPr>
                <w:rFonts w:ascii="Arial" w:hAnsi="Arial" w:cs="Arial"/>
                <w:b/>
                <w:color w:val="000000"/>
                <w:sz w:val="24"/>
                <w:szCs w:val="24"/>
                <w:u w:val="single"/>
                <w:lang w:eastAsia="en-GB"/>
              </w:rPr>
              <w:t>Spent</w:t>
            </w:r>
          </w:p>
          <w:p w:rsidR="00063E5C" w:rsidRPr="0079262B" w:rsidRDefault="00063E5C" w:rsidP="00210C51">
            <w:pPr>
              <w:autoSpaceDE w:val="0"/>
              <w:autoSpaceDN w:val="0"/>
              <w:adjustRightInd w:val="0"/>
              <w:jc w:val="center"/>
              <w:rPr>
                <w:rFonts w:ascii="Arial" w:hAnsi="Arial" w:cs="Arial"/>
                <w:b/>
                <w:color w:val="000000"/>
                <w:sz w:val="24"/>
                <w:szCs w:val="24"/>
                <w:u w:val="single"/>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rPr>
                <w:rFonts w:ascii="Arial" w:hAnsi="Arial" w:cs="Arial"/>
                <w:sz w:val="24"/>
                <w:szCs w:val="24"/>
                <w:lang w:eastAsia="en-GB"/>
              </w:rPr>
            </w:pPr>
          </w:p>
        </w:tc>
        <w:tc>
          <w:tcPr>
            <w:tcW w:w="4544" w:type="pct"/>
            <w:gridSpan w:val="4"/>
            <w:tcBorders>
              <w:top w:val="single" w:sz="4" w:space="0" w:color="auto"/>
              <w:left w:val="single" w:sz="4" w:space="0" w:color="auto"/>
              <w:bottom w:val="single" w:sz="4" w:space="0" w:color="auto"/>
              <w:right w:val="single" w:sz="4" w:space="0" w:color="auto"/>
            </w:tcBorders>
            <w:shd w:val="pct25" w:color="auto" w:fill="auto"/>
          </w:tcPr>
          <w:p w:rsidR="00063E5C" w:rsidRPr="0079262B" w:rsidRDefault="00063E5C" w:rsidP="00210C51">
            <w:pPr>
              <w:rPr>
                <w:rFonts w:ascii="Arial" w:hAnsi="Arial" w:cs="Arial"/>
                <w:sz w:val="24"/>
                <w:szCs w:val="24"/>
                <w:lang w:eastAsia="en-GB"/>
              </w:rPr>
            </w:pPr>
          </w:p>
          <w:p w:rsidR="00063E5C" w:rsidRPr="0079262B" w:rsidRDefault="00063E5C" w:rsidP="00210C51">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rsidR="00063E5C" w:rsidRPr="0079262B" w:rsidRDefault="00063E5C" w:rsidP="00210C51">
            <w:pPr>
              <w:rPr>
                <w:rFonts w:ascii="Arial" w:hAnsi="Arial" w:cs="Arial"/>
                <w:sz w:val="24"/>
                <w:szCs w:val="24"/>
                <w:lang w:eastAsia="en-GB"/>
              </w:rPr>
            </w:pPr>
          </w:p>
        </w:tc>
      </w:tr>
      <w:tr w:rsidR="00063E5C" w:rsidRPr="0079262B" w:rsidTr="00210C51">
        <w:tc>
          <w:tcPr>
            <w:tcW w:w="456"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Covid-19 Related / </w:t>
            </w:r>
            <w:r w:rsidRPr="0079262B">
              <w:rPr>
                <w:rFonts w:ascii="Arial" w:hAnsi="Arial" w:cs="Arial"/>
                <w:color w:val="000000"/>
                <w:sz w:val="24"/>
                <w:szCs w:val="24"/>
                <w:lang w:eastAsia="en-GB"/>
              </w:rPr>
              <w:t>Consultancy &amp; Special Investigations</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063E5C" w:rsidRPr="0079262B" w:rsidRDefault="00063E5C" w:rsidP="00210C51">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Covid-19 recovery period / p</w:t>
            </w:r>
            <w:r w:rsidRPr="0079262B">
              <w:rPr>
                <w:rFonts w:ascii="Arial" w:hAnsi="Arial" w:cs="Arial"/>
                <w:color w:val="000000"/>
                <w:sz w:val="24"/>
                <w:szCs w:val="24"/>
                <w:lang w:eastAsia="en-GB"/>
              </w:rPr>
              <w:t>rofessional independent advice on audit / governance arrangements as required by Council Rules and Regulations or requested by management</w:t>
            </w:r>
          </w:p>
          <w:p w:rsidR="00063E5C" w:rsidRPr="0079262B" w:rsidRDefault="00063E5C" w:rsidP="00210C51">
            <w:pPr>
              <w:autoSpaceDE w:val="0"/>
              <w:autoSpaceDN w:val="0"/>
              <w:adjustRightInd w:val="0"/>
              <w:rPr>
                <w:rFonts w:ascii="Arial" w:hAnsi="Arial" w:cs="Arial"/>
                <w:color w:val="000000"/>
                <w:sz w:val="24"/>
                <w:szCs w:val="24"/>
                <w:lang w:eastAsia="en-GB"/>
              </w:rPr>
            </w:pPr>
          </w:p>
          <w:p w:rsidR="00063E5C" w:rsidRPr="0079262B" w:rsidRDefault="00063E5C" w:rsidP="00210C51">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rsidR="00063E5C" w:rsidRPr="0079262B" w:rsidRDefault="00063E5C" w:rsidP="00210C51">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063E5C" w:rsidRPr="0079262B"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50.00</w:t>
            </w: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063E5C" w:rsidRDefault="00063E5C"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79</w:t>
            </w:r>
            <w:r w:rsidRPr="0079262B">
              <w:rPr>
                <w:rFonts w:ascii="Arial" w:hAnsi="Arial" w:cs="Arial"/>
                <w:color w:val="000000"/>
                <w:sz w:val="24"/>
                <w:szCs w:val="24"/>
                <w:lang w:eastAsia="en-GB"/>
              </w:rPr>
              <w:t>.</w:t>
            </w:r>
            <w:r>
              <w:rPr>
                <w:rFonts w:ascii="Arial" w:hAnsi="Arial" w:cs="Arial"/>
                <w:color w:val="000000"/>
                <w:sz w:val="24"/>
                <w:szCs w:val="24"/>
                <w:lang w:eastAsia="en-GB"/>
              </w:rPr>
              <w:t>50</w:t>
            </w:r>
          </w:p>
          <w:p w:rsidR="00F17AEA" w:rsidRPr="0079262B" w:rsidRDefault="00F17AEA" w:rsidP="00210C5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(Note 2)</w:t>
            </w:r>
          </w:p>
        </w:tc>
      </w:tr>
    </w:tbl>
    <w:p w:rsidR="00063E5C" w:rsidRDefault="00063E5C" w:rsidP="00063E5C">
      <w:pPr>
        <w:pStyle w:val="BodyTextIndent"/>
        <w:ind w:left="709" w:right="-270" w:hanging="709"/>
      </w:pPr>
    </w:p>
    <w:p w:rsidR="00C931B5" w:rsidRDefault="00C931B5" w:rsidP="00300E33">
      <w:pPr>
        <w:pStyle w:val="BodyTextIndent"/>
        <w:ind w:left="709" w:hanging="709"/>
        <w:rPr>
          <w:rFonts w:ascii="Arial" w:hAnsi="Arial" w:cs="Arial"/>
          <w:szCs w:val="24"/>
        </w:rPr>
      </w:pPr>
    </w:p>
    <w:p w:rsidR="00A22D6D" w:rsidRDefault="00A22D6D" w:rsidP="00A22D6D">
      <w:pPr>
        <w:pStyle w:val="BodyTextIndent"/>
        <w:ind w:left="709" w:right="-270" w:hanging="709"/>
        <w:rPr>
          <w:rFonts w:ascii="Arial" w:hAnsi="Arial" w:cs="Arial"/>
        </w:rPr>
      </w:pPr>
      <w:r>
        <w:rPr>
          <w:rFonts w:ascii="Arial" w:hAnsi="Arial" w:cs="Arial"/>
          <w:u w:val="single"/>
        </w:rPr>
        <w:t>Notes</w:t>
      </w:r>
    </w:p>
    <w:p w:rsidR="00A22D6D" w:rsidRDefault="00A22D6D" w:rsidP="00A22D6D">
      <w:pPr>
        <w:pStyle w:val="BodyTextIndent"/>
        <w:ind w:left="709" w:right="-270" w:hanging="709"/>
        <w:rPr>
          <w:rFonts w:ascii="Arial" w:hAnsi="Arial" w:cs="Arial"/>
        </w:rPr>
      </w:pPr>
    </w:p>
    <w:tbl>
      <w:tblPr>
        <w:tblStyle w:val="TableGrid"/>
        <w:tblW w:w="13183" w:type="dxa"/>
        <w:tblInd w:w="137" w:type="dxa"/>
        <w:tblLayout w:type="fixed"/>
        <w:tblLook w:val="04A0" w:firstRow="1" w:lastRow="0" w:firstColumn="1" w:lastColumn="0" w:noHBand="0" w:noVBand="1"/>
      </w:tblPr>
      <w:tblGrid>
        <w:gridCol w:w="1418"/>
        <w:gridCol w:w="11765"/>
      </w:tblGrid>
      <w:tr w:rsidR="00A22D6D" w:rsidTr="00A22D6D">
        <w:tc>
          <w:tcPr>
            <w:tcW w:w="1418" w:type="dxa"/>
            <w:tcBorders>
              <w:top w:val="single" w:sz="4" w:space="0" w:color="auto"/>
              <w:left w:val="single" w:sz="4" w:space="0" w:color="auto"/>
              <w:bottom w:val="single" w:sz="4" w:space="0" w:color="auto"/>
              <w:right w:val="single" w:sz="4" w:space="0" w:color="auto"/>
            </w:tcBorders>
            <w:hideMark/>
          </w:tcPr>
          <w:p w:rsidR="00A22D6D" w:rsidRDefault="00A22D6D" w:rsidP="00210C51">
            <w:pPr>
              <w:pStyle w:val="BodyTextIndent"/>
              <w:ind w:left="0" w:right="-270"/>
              <w:jc w:val="center"/>
              <w:rPr>
                <w:rFonts w:ascii="Arial" w:hAnsi="Arial" w:cs="Arial"/>
              </w:rPr>
            </w:pPr>
            <w:r>
              <w:rPr>
                <w:rFonts w:ascii="Arial" w:hAnsi="Arial" w:cs="Arial"/>
              </w:rPr>
              <w:t>No.</w:t>
            </w:r>
          </w:p>
        </w:tc>
        <w:tc>
          <w:tcPr>
            <w:tcW w:w="11765" w:type="dxa"/>
            <w:tcBorders>
              <w:top w:val="single" w:sz="4" w:space="0" w:color="auto"/>
              <w:left w:val="single" w:sz="4" w:space="0" w:color="auto"/>
              <w:bottom w:val="single" w:sz="4" w:space="0" w:color="auto"/>
              <w:right w:val="single" w:sz="4" w:space="0" w:color="auto"/>
            </w:tcBorders>
            <w:hideMark/>
          </w:tcPr>
          <w:p w:rsidR="00A22D6D" w:rsidRDefault="00A22D6D" w:rsidP="00210C51">
            <w:pPr>
              <w:pStyle w:val="BodyTextIndent"/>
              <w:ind w:left="0" w:right="-270"/>
              <w:jc w:val="center"/>
              <w:rPr>
                <w:rFonts w:ascii="Arial" w:hAnsi="Arial" w:cs="Arial"/>
              </w:rPr>
            </w:pPr>
            <w:r>
              <w:rPr>
                <w:rFonts w:ascii="Arial" w:hAnsi="Arial" w:cs="Arial"/>
              </w:rPr>
              <w:t>Reason for Significant Difference / Action to be Taken</w:t>
            </w:r>
          </w:p>
          <w:p w:rsidR="00A22D6D" w:rsidRDefault="00A22D6D" w:rsidP="00210C51">
            <w:pPr>
              <w:pStyle w:val="BodyTextIndent"/>
              <w:ind w:left="0" w:right="-270"/>
              <w:jc w:val="center"/>
              <w:rPr>
                <w:rFonts w:ascii="Arial" w:hAnsi="Arial" w:cs="Arial"/>
              </w:rPr>
            </w:pPr>
            <w:r>
              <w:rPr>
                <w:rFonts w:ascii="Arial" w:hAnsi="Arial" w:cs="Arial"/>
              </w:rPr>
              <w:t xml:space="preserve"> </w:t>
            </w:r>
          </w:p>
        </w:tc>
      </w:tr>
      <w:tr w:rsidR="00A22D6D" w:rsidTr="00A22D6D">
        <w:tc>
          <w:tcPr>
            <w:tcW w:w="1418" w:type="dxa"/>
            <w:tcBorders>
              <w:top w:val="single" w:sz="4" w:space="0" w:color="auto"/>
              <w:left w:val="single" w:sz="4" w:space="0" w:color="auto"/>
              <w:bottom w:val="single" w:sz="4" w:space="0" w:color="auto"/>
              <w:right w:val="single" w:sz="4" w:space="0" w:color="auto"/>
            </w:tcBorders>
            <w:hideMark/>
          </w:tcPr>
          <w:p w:rsidR="00A22D6D" w:rsidRDefault="00A22D6D" w:rsidP="00210C51">
            <w:pPr>
              <w:pStyle w:val="BodyTextIndent"/>
              <w:ind w:left="0" w:right="-270"/>
              <w:jc w:val="center"/>
              <w:rPr>
                <w:rFonts w:ascii="Arial" w:hAnsi="Arial" w:cs="Arial"/>
              </w:rPr>
            </w:pPr>
            <w:r>
              <w:rPr>
                <w:rFonts w:ascii="Arial" w:hAnsi="Arial" w:cs="Arial"/>
              </w:rPr>
              <w:t>1</w:t>
            </w:r>
          </w:p>
        </w:tc>
        <w:tc>
          <w:tcPr>
            <w:tcW w:w="11765" w:type="dxa"/>
            <w:tcBorders>
              <w:top w:val="single" w:sz="4" w:space="0" w:color="auto"/>
              <w:left w:val="single" w:sz="4" w:space="0" w:color="auto"/>
              <w:bottom w:val="single" w:sz="4" w:space="0" w:color="auto"/>
              <w:right w:val="single" w:sz="4" w:space="0" w:color="auto"/>
            </w:tcBorders>
          </w:tcPr>
          <w:p w:rsidR="00A22D6D" w:rsidRDefault="00E774E7" w:rsidP="00E774E7">
            <w:pPr>
              <w:pStyle w:val="BodyTextIndent"/>
              <w:ind w:left="0" w:right="-134"/>
              <w:rPr>
                <w:rFonts w:ascii="Arial" w:hAnsi="Arial" w:cs="Arial"/>
              </w:rPr>
            </w:pPr>
            <w:r>
              <w:rPr>
                <w:rFonts w:ascii="Arial" w:hAnsi="Arial" w:cs="Arial"/>
              </w:rPr>
              <w:t>Additional days were required during the year to support the external review of the Council’s procurement arrangements by the LGA consultant and to launch and provide training upon the new Procurement Strategy</w:t>
            </w:r>
          </w:p>
          <w:p w:rsidR="00E774E7" w:rsidRDefault="00E774E7" w:rsidP="00E774E7">
            <w:pPr>
              <w:pStyle w:val="BodyTextIndent"/>
              <w:ind w:left="0" w:right="-134"/>
              <w:rPr>
                <w:rFonts w:ascii="Arial" w:hAnsi="Arial" w:cs="Arial"/>
              </w:rPr>
            </w:pPr>
          </w:p>
        </w:tc>
      </w:tr>
      <w:tr w:rsidR="00A22D6D" w:rsidTr="00A22D6D">
        <w:tc>
          <w:tcPr>
            <w:tcW w:w="1418" w:type="dxa"/>
            <w:tcBorders>
              <w:top w:val="single" w:sz="4" w:space="0" w:color="auto"/>
              <w:left w:val="single" w:sz="4" w:space="0" w:color="auto"/>
              <w:bottom w:val="single" w:sz="4" w:space="0" w:color="auto"/>
              <w:right w:val="single" w:sz="4" w:space="0" w:color="auto"/>
            </w:tcBorders>
          </w:tcPr>
          <w:p w:rsidR="00A22D6D" w:rsidRDefault="00A22D6D" w:rsidP="00210C51">
            <w:pPr>
              <w:pStyle w:val="BodyTextIndent"/>
              <w:ind w:left="0" w:right="-270"/>
              <w:jc w:val="center"/>
              <w:rPr>
                <w:rFonts w:ascii="Arial" w:hAnsi="Arial" w:cs="Arial"/>
              </w:rPr>
            </w:pPr>
            <w:r>
              <w:rPr>
                <w:rFonts w:ascii="Arial" w:hAnsi="Arial" w:cs="Arial"/>
              </w:rPr>
              <w:t>2</w:t>
            </w:r>
          </w:p>
        </w:tc>
        <w:tc>
          <w:tcPr>
            <w:tcW w:w="11765" w:type="dxa"/>
            <w:tcBorders>
              <w:top w:val="single" w:sz="4" w:space="0" w:color="auto"/>
              <w:left w:val="single" w:sz="4" w:space="0" w:color="auto"/>
              <w:bottom w:val="single" w:sz="4" w:space="0" w:color="auto"/>
              <w:right w:val="single" w:sz="4" w:space="0" w:color="auto"/>
            </w:tcBorders>
          </w:tcPr>
          <w:p w:rsidR="00A22D6D" w:rsidRDefault="00F17AEA" w:rsidP="00F17AEA">
            <w:pPr>
              <w:autoSpaceDE w:val="0"/>
              <w:autoSpaceDN w:val="0"/>
              <w:adjustRightInd w:val="0"/>
              <w:rPr>
                <w:rFonts w:ascii="Arial" w:hAnsi="Arial" w:cs="Arial"/>
                <w:sz w:val="24"/>
                <w:szCs w:val="24"/>
              </w:rPr>
            </w:pPr>
            <w:r>
              <w:rPr>
                <w:rFonts w:ascii="Arial" w:hAnsi="Arial" w:cs="Arial"/>
                <w:sz w:val="24"/>
                <w:szCs w:val="24"/>
              </w:rPr>
              <w:t>Additional days required to verify applications for Covid-19 business grants</w:t>
            </w:r>
          </w:p>
          <w:p w:rsidR="00F17AEA" w:rsidRPr="00F17AEA" w:rsidRDefault="00F17AEA" w:rsidP="00F17AEA">
            <w:pPr>
              <w:autoSpaceDE w:val="0"/>
              <w:autoSpaceDN w:val="0"/>
              <w:adjustRightInd w:val="0"/>
              <w:rPr>
                <w:rFonts w:ascii="Arial" w:hAnsi="Arial" w:cs="Arial"/>
                <w:sz w:val="24"/>
                <w:szCs w:val="24"/>
              </w:rPr>
            </w:pPr>
          </w:p>
        </w:tc>
      </w:tr>
    </w:tbl>
    <w:p w:rsidR="00A22D6D" w:rsidRDefault="00A22D6D"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525E8D" w:rsidRPr="000E1C20" w:rsidRDefault="00525E8D" w:rsidP="00525E8D">
      <w:pPr>
        <w:pStyle w:val="BodyTextIndent"/>
        <w:ind w:left="709" w:right="-270" w:hanging="709"/>
        <w:rPr>
          <w:rFonts w:ascii="Arial" w:hAnsi="Arial" w:cs="Arial"/>
          <w:b/>
          <w:szCs w:val="24"/>
          <w:u w:val="single"/>
        </w:rPr>
      </w:pPr>
      <w:r>
        <w:rPr>
          <w:rFonts w:ascii="Arial" w:hAnsi="Arial" w:cs="Arial"/>
          <w:b/>
          <w:szCs w:val="24"/>
          <w:u w:val="single"/>
        </w:rPr>
        <w:t xml:space="preserve">Table 2: Real Time </w:t>
      </w:r>
      <w:r w:rsidR="00E85CE6">
        <w:rPr>
          <w:rFonts w:ascii="Arial" w:hAnsi="Arial" w:cs="Arial"/>
          <w:b/>
          <w:szCs w:val="24"/>
          <w:u w:val="single"/>
        </w:rPr>
        <w:t xml:space="preserve">Proactive </w:t>
      </w:r>
      <w:r>
        <w:rPr>
          <w:rFonts w:ascii="Arial" w:hAnsi="Arial" w:cs="Arial"/>
          <w:b/>
          <w:szCs w:val="24"/>
          <w:u w:val="single"/>
        </w:rPr>
        <w:t>Assurance of Strategic Risks Areas</w:t>
      </w:r>
    </w:p>
    <w:p w:rsidR="00525E8D" w:rsidRDefault="00525E8D" w:rsidP="00525E8D">
      <w:pPr>
        <w:pStyle w:val="BodyTextIndent"/>
        <w:ind w:left="709" w:right="-270" w:hanging="709"/>
        <w:rPr>
          <w:rFonts w:ascii="Arial" w:hAnsi="Arial" w:cs="Arial"/>
          <w:szCs w:val="24"/>
        </w:rPr>
      </w:pPr>
    </w:p>
    <w:tbl>
      <w:tblPr>
        <w:tblStyle w:val="TableGrid1"/>
        <w:tblW w:w="12950" w:type="dxa"/>
        <w:tblInd w:w="0" w:type="dxa"/>
        <w:tblLook w:val="04A0" w:firstRow="1" w:lastRow="0" w:firstColumn="1" w:lastColumn="0" w:noHBand="0" w:noVBand="1"/>
      </w:tblPr>
      <w:tblGrid>
        <w:gridCol w:w="3114"/>
        <w:gridCol w:w="1276"/>
        <w:gridCol w:w="5514"/>
        <w:gridCol w:w="3046"/>
      </w:tblGrid>
      <w:tr w:rsidR="00525E8D"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525E8D" w:rsidRDefault="00525E8D" w:rsidP="00210C51">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525E8D" w:rsidRPr="00943027" w:rsidRDefault="00525E8D" w:rsidP="00210C51">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5E8D" w:rsidRDefault="00525E8D" w:rsidP="00210C51">
            <w:pPr>
              <w:jc w:val="center"/>
              <w:rPr>
                <w:rFonts w:ascii="Arial" w:hAnsi="Arial" w:cs="Arial"/>
                <w:sz w:val="24"/>
                <w:szCs w:val="24"/>
              </w:rPr>
            </w:pPr>
            <w:r>
              <w:rPr>
                <w:rFonts w:ascii="Arial" w:hAnsi="Arial" w:cs="Arial"/>
                <w:sz w:val="24"/>
                <w:szCs w:val="24"/>
              </w:rPr>
              <w:t>Risk Level</w:t>
            </w:r>
          </w:p>
          <w:p w:rsidR="00525E8D" w:rsidRDefault="00525E8D" w:rsidP="00210C51">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hideMark/>
          </w:tcPr>
          <w:p w:rsidR="00525E8D" w:rsidRPr="00943027" w:rsidRDefault="00525E8D" w:rsidP="00210C51">
            <w:pPr>
              <w:jc w:val="center"/>
              <w:rPr>
                <w:rFonts w:ascii="Arial" w:hAnsi="Arial" w:cs="Arial"/>
                <w:sz w:val="24"/>
                <w:szCs w:val="24"/>
              </w:rPr>
            </w:pPr>
            <w:r>
              <w:rPr>
                <w:rFonts w:ascii="Arial" w:hAnsi="Arial" w:cs="Arial"/>
                <w:sz w:val="24"/>
                <w:szCs w:val="24"/>
              </w:rPr>
              <w:t xml:space="preserve">Real Time </w:t>
            </w:r>
            <w:r w:rsidR="004B7B24">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rsidR="00525E8D" w:rsidRDefault="00525E8D" w:rsidP="00210C51">
            <w:pPr>
              <w:jc w:val="center"/>
              <w:rPr>
                <w:rFonts w:ascii="Arial" w:hAnsi="Arial" w:cs="Arial"/>
                <w:sz w:val="24"/>
                <w:szCs w:val="24"/>
              </w:rPr>
            </w:pPr>
            <w:r>
              <w:rPr>
                <w:rFonts w:ascii="Arial" w:hAnsi="Arial" w:cs="Arial"/>
                <w:sz w:val="24"/>
                <w:szCs w:val="24"/>
              </w:rPr>
              <w:t>Assurance Gap / Actions</w:t>
            </w:r>
          </w:p>
        </w:tc>
      </w:tr>
      <w:tr w:rsidR="00525E8D"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525E8D" w:rsidRPr="00943027" w:rsidRDefault="00525E8D" w:rsidP="00210C51">
            <w:pPr>
              <w:rPr>
                <w:rFonts w:ascii="Arial" w:hAnsi="Arial" w:cs="Arial"/>
                <w:sz w:val="24"/>
                <w:szCs w:val="24"/>
              </w:rPr>
            </w:pPr>
            <w:r w:rsidRPr="00943027">
              <w:rPr>
                <w:rFonts w:ascii="Arial" w:hAnsi="Arial" w:cs="Arial"/>
                <w:sz w:val="24"/>
                <w:szCs w:val="24"/>
              </w:rPr>
              <w:t>Insufficient funds to deliver statutory services</w:t>
            </w:r>
          </w:p>
        </w:tc>
        <w:tc>
          <w:tcPr>
            <w:tcW w:w="1276" w:type="dxa"/>
            <w:tcBorders>
              <w:top w:val="single" w:sz="4" w:space="0" w:color="auto"/>
              <w:left w:val="single" w:sz="4" w:space="0" w:color="auto"/>
              <w:bottom w:val="single" w:sz="4" w:space="0" w:color="auto"/>
              <w:right w:val="single" w:sz="4" w:space="0" w:color="auto"/>
            </w:tcBorders>
          </w:tcPr>
          <w:p w:rsidR="00525E8D" w:rsidRDefault="00FF1858" w:rsidP="00525E8D">
            <w:pPr>
              <w:jc w:val="center"/>
              <w:rPr>
                <w:rFonts w:ascii="Arial" w:hAnsi="Arial" w:cs="Arial"/>
                <w:sz w:val="24"/>
                <w:szCs w:val="24"/>
              </w:rPr>
            </w:pPr>
            <w:r w:rsidRPr="00FF1858">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525E8D" w:rsidRDefault="00525E8D" w:rsidP="00210C51">
            <w:pPr>
              <w:rPr>
                <w:rFonts w:ascii="Arial" w:hAnsi="Arial" w:cs="Arial"/>
                <w:sz w:val="24"/>
                <w:szCs w:val="24"/>
              </w:rPr>
            </w:pPr>
            <w:r>
              <w:rPr>
                <w:rFonts w:ascii="Arial" w:hAnsi="Arial" w:cs="Arial"/>
                <w:sz w:val="24"/>
                <w:szCs w:val="24"/>
              </w:rPr>
              <w:t xml:space="preserve">It was intended for the Financial Services Manager and Corporate Assurance Manager to carry out a review of the Council’s Financial Regulations, Budget Protocol, Grant procedures and finance related sections of the Council’s Constitution during 2020/2021. Although revised Grant procedures were approved, the review was not completed due to other Covid-19 commitments taking priority  </w:t>
            </w:r>
          </w:p>
          <w:p w:rsidR="00525E8D" w:rsidRPr="00943027" w:rsidRDefault="00525E8D" w:rsidP="00210C51">
            <w:pPr>
              <w:rPr>
                <w:rFonts w:ascii="Arial" w:hAnsi="Arial" w:cs="Arial"/>
                <w:sz w:val="24"/>
                <w:szCs w:val="24"/>
              </w:rPr>
            </w:pPr>
          </w:p>
          <w:p w:rsidR="00525E8D" w:rsidRPr="00943027" w:rsidRDefault="00525E8D" w:rsidP="00210C51">
            <w:pPr>
              <w:rPr>
                <w:rFonts w:ascii="Arial" w:hAnsi="Arial" w:cs="Arial"/>
                <w:sz w:val="24"/>
                <w:szCs w:val="24"/>
              </w:rPr>
            </w:pPr>
            <w:r w:rsidRPr="00943027">
              <w:rPr>
                <w:rFonts w:ascii="Arial" w:hAnsi="Arial" w:cs="Arial"/>
                <w:sz w:val="24"/>
                <w:szCs w:val="24"/>
              </w:rPr>
              <w:t xml:space="preserve"> </w:t>
            </w:r>
          </w:p>
          <w:p w:rsidR="00525E8D" w:rsidRPr="00943027" w:rsidRDefault="00525E8D" w:rsidP="00210C51">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525E8D" w:rsidRDefault="00525E8D" w:rsidP="00210C51">
            <w:pPr>
              <w:rPr>
                <w:rFonts w:ascii="Arial" w:hAnsi="Arial" w:cs="Arial"/>
                <w:sz w:val="24"/>
                <w:szCs w:val="24"/>
              </w:rPr>
            </w:pPr>
            <w:r>
              <w:rPr>
                <w:rFonts w:ascii="Arial" w:hAnsi="Arial" w:cs="Arial"/>
                <w:sz w:val="24"/>
                <w:szCs w:val="24"/>
              </w:rPr>
              <w:t>The need to complete this review has been included in the Annual Governance Statement (AGS) 2020/2021 action plan</w:t>
            </w:r>
          </w:p>
        </w:tc>
      </w:tr>
      <w:tr w:rsidR="00525E8D"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525E8D" w:rsidRPr="00943027" w:rsidRDefault="00525E8D" w:rsidP="00210C51">
            <w:pPr>
              <w:rPr>
                <w:rFonts w:ascii="Arial" w:hAnsi="Arial" w:cs="Arial"/>
                <w:sz w:val="24"/>
                <w:szCs w:val="24"/>
              </w:rPr>
            </w:pPr>
            <w:r w:rsidRPr="00943027">
              <w:rPr>
                <w:rFonts w:ascii="Arial" w:hAnsi="Arial" w:cs="Arial"/>
                <w:sz w:val="24"/>
                <w:szCs w:val="24"/>
              </w:rPr>
              <w:t>Failure to deliver the expected outcomes from projects requiring a key decision</w:t>
            </w:r>
          </w:p>
          <w:p w:rsidR="00525E8D" w:rsidRPr="00943027" w:rsidRDefault="00525E8D" w:rsidP="00210C51">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5E8D" w:rsidRDefault="00654842" w:rsidP="00525E8D">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525E8D" w:rsidRDefault="00525E8D" w:rsidP="00210C51">
            <w:pPr>
              <w:rPr>
                <w:rFonts w:ascii="Arial" w:hAnsi="Arial" w:cs="Arial"/>
                <w:sz w:val="24"/>
                <w:szCs w:val="24"/>
              </w:rPr>
            </w:pPr>
            <w:r>
              <w:rPr>
                <w:rFonts w:ascii="Arial" w:hAnsi="Arial" w:cs="Arial"/>
                <w:sz w:val="24"/>
                <w:szCs w:val="24"/>
              </w:rPr>
              <w:t xml:space="preserve">The Corporate Assurance Manager produced an assurance model during 2020/2021 to ensure that the recommendations made / corporate lessons identified from the independent external review of the former Berry Hill Quarry </w:t>
            </w:r>
            <w:r w:rsidR="004B7B24">
              <w:rPr>
                <w:rFonts w:ascii="Arial" w:hAnsi="Arial" w:cs="Arial"/>
                <w:sz w:val="24"/>
                <w:szCs w:val="24"/>
              </w:rPr>
              <w:t>we</w:t>
            </w:r>
            <w:r>
              <w:rPr>
                <w:rFonts w:ascii="Arial" w:hAnsi="Arial" w:cs="Arial"/>
                <w:sz w:val="24"/>
                <w:szCs w:val="24"/>
              </w:rPr>
              <w:t>re implemented and has presented progress reports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the agreed actions</w:t>
            </w:r>
          </w:p>
          <w:p w:rsidR="00525E8D" w:rsidRDefault="00525E8D" w:rsidP="00210C51">
            <w:pPr>
              <w:rPr>
                <w:rFonts w:ascii="Arial" w:hAnsi="Arial" w:cs="Arial"/>
                <w:sz w:val="24"/>
                <w:szCs w:val="24"/>
              </w:rPr>
            </w:pPr>
          </w:p>
          <w:p w:rsidR="00525E8D" w:rsidRDefault="00525E8D" w:rsidP="00210C51">
            <w:pPr>
              <w:rPr>
                <w:rFonts w:ascii="Arial" w:hAnsi="Arial" w:cs="Arial"/>
                <w:sz w:val="24"/>
                <w:szCs w:val="24"/>
              </w:rPr>
            </w:pPr>
          </w:p>
          <w:p w:rsidR="00525E8D" w:rsidRDefault="00525E8D" w:rsidP="00210C51">
            <w:pPr>
              <w:rPr>
                <w:rFonts w:ascii="Arial" w:hAnsi="Arial" w:cs="Arial"/>
                <w:sz w:val="24"/>
                <w:szCs w:val="24"/>
              </w:rPr>
            </w:pPr>
          </w:p>
          <w:p w:rsidR="00525E8D" w:rsidRDefault="00525E8D" w:rsidP="00210C51">
            <w:pPr>
              <w:rPr>
                <w:rFonts w:ascii="Arial" w:hAnsi="Arial" w:cs="Arial"/>
                <w:sz w:val="24"/>
                <w:szCs w:val="24"/>
              </w:rPr>
            </w:pPr>
          </w:p>
          <w:p w:rsidR="00525E8D" w:rsidRPr="00943027" w:rsidRDefault="00525E8D" w:rsidP="00210C51">
            <w:pPr>
              <w:rPr>
                <w:rFonts w:ascii="Arial" w:hAnsi="Arial" w:cs="Arial"/>
                <w:sz w:val="24"/>
                <w:szCs w:val="24"/>
              </w:rPr>
            </w:pPr>
            <w:r>
              <w:rPr>
                <w:rFonts w:ascii="Arial" w:hAnsi="Arial" w:cs="Arial"/>
                <w:sz w:val="24"/>
                <w:szCs w:val="24"/>
              </w:rPr>
              <w:t xml:space="preserve"> </w:t>
            </w:r>
          </w:p>
        </w:tc>
        <w:tc>
          <w:tcPr>
            <w:tcW w:w="3046" w:type="dxa"/>
            <w:tcBorders>
              <w:top w:val="single" w:sz="4" w:space="0" w:color="auto"/>
              <w:left w:val="single" w:sz="4" w:space="0" w:color="auto"/>
              <w:bottom w:val="single" w:sz="4" w:space="0" w:color="auto"/>
              <w:right w:val="single" w:sz="4" w:space="0" w:color="auto"/>
            </w:tcBorders>
          </w:tcPr>
          <w:p w:rsidR="00525E8D" w:rsidRDefault="00525E8D" w:rsidP="00210C51">
            <w:pPr>
              <w:rPr>
                <w:rFonts w:ascii="Arial" w:hAnsi="Arial" w:cs="Arial"/>
                <w:sz w:val="24"/>
                <w:szCs w:val="24"/>
              </w:rPr>
            </w:pPr>
            <w:r>
              <w:rPr>
                <w:rFonts w:ascii="Arial" w:hAnsi="Arial" w:cs="Arial"/>
                <w:sz w:val="24"/>
                <w:szCs w:val="24"/>
              </w:rPr>
              <w:t>Further progress reports will be produced by the Corporate Assurance Manager during 2020/2021 and an Internal Audit review will be undertaken of relevant procedures to provide further independent assurance</w:t>
            </w:r>
          </w:p>
          <w:p w:rsidR="00EA1D98" w:rsidRDefault="00EA1D98" w:rsidP="00210C51">
            <w:pPr>
              <w:rPr>
                <w:rFonts w:ascii="Arial" w:hAnsi="Arial" w:cs="Arial"/>
                <w:sz w:val="24"/>
                <w:szCs w:val="24"/>
              </w:rPr>
            </w:pPr>
          </w:p>
          <w:p w:rsidR="00EA1D98" w:rsidRDefault="00EA1D98" w:rsidP="00210C51">
            <w:pPr>
              <w:rPr>
                <w:rFonts w:ascii="Arial" w:hAnsi="Arial" w:cs="Arial"/>
                <w:sz w:val="24"/>
                <w:szCs w:val="24"/>
              </w:rPr>
            </w:pPr>
          </w:p>
          <w:p w:rsidR="00EA1D98" w:rsidRDefault="00EA1D98" w:rsidP="00210C51">
            <w:pPr>
              <w:rPr>
                <w:rFonts w:ascii="Arial" w:hAnsi="Arial" w:cs="Arial"/>
                <w:sz w:val="24"/>
                <w:szCs w:val="24"/>
              </w:rPr>
            </w:pPr>
          </w:p>
          <w:p w:rsidR="00EA1D98" w:rsidRPr="00943027" w:rsidRDefault="00EA1D98" w:rsidP="00210C51">
            <w:pPr>
              <w:rPr>
                <w:rFonts w:ascii="Arial" w:hAnsi="Arial" w:cs="Arial"/>
                <w:sz w:val="24"/>
                <w:szCs w:val="24"/>
              </w:rPr>
            </w:pP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EA1D98" w:rsidRPr="00943027" w:rsidRDefault="00EA1D98" w:rsidP="00EA1D98">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Risk Level</w:t>
            </w:r>
          </w:p>
          <w:p w:rsidR="00EA1D98" w:rsidRDefault="00EA1D98" w:rsidP="00EA1D98">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jc w:val="center"/>
              <w:rPr>
                <w:rFonts w:ascii="Arial" w:hAnsi="Arial" w:cs="Arial"/>
                <w:sz w:val="24"/>
                <w:szCs w:val="24"/>
              </w:rPr>
            </w:pPr>
            <w:r>
              <w:rPr>
                <w:rFonts w:ascii="Arial" w:hAnsi="Arial" w:cs="Arial"/>
                <w:sz w:val="24"/>
                <w:szCs w:val="24"/>
              </w:rPr>
              <w:t xml:space="preserve">Real Time </w:t>
            </w:r>
            <w:r w:rsidR="004B7B24">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Assurance Gap / Actions</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Non-complian</w:t>
            </w:r>
            <w:r>
              <w:rPr>
                <w:rFonts w:ascii="Arial" w:hAnsi="Arial" w:cs="Arial"/>
                <w:sz w:val="24"/>
                <w:szCs w:val="24"/>
              </w:rPr>
              <w:t>ce with</w:t>
            </w:r>
            <w:r w:rsidRPr="00943027">
              <w:rPr>
                <w:rFonts w:ascii="Arial" w:hAnsi="Arial" w:cs="Arial"/>
                <w:sz w:val="24"/>
                <w:szCs w:val="24"/>
              </w:rPr>
              <w:t xml:space="preserve"> procurement practices</w:t>
            </w: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An external review of the Council’s procurement arrangements was undertaken by a LGA sponsored consultant during 2020/2021 with an overall conclusion that the Council had good arrangements in place. However, recommendations were made for further improvement and an action plan was agreed, with implementation being monitored by the Council’s Procurement Delivery Group</w:t>
            </w:r>
          </w:p>
          <w:p w:rsidR="00EA1D98" w:rsidRPr="00943027"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The action plan needs to be fully implemented to support the Council’s new Procurement Strategy. This has been included in the AGS 2020/2021 action plan</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 xml:space="preserve">Ineffective management of </w:t>
            </w:r>
            <w:r>
              <w:rPr>
                <w:rFonts w:ascii="Arial" w:hAnsi="Arial" w:cs="Arial"/>
                <w:sz w:val="24"/>
                <w:szCs w:val="24"/>
              </w:rPr>
              <w:t xml:space="preserve">Non-HRA </w:t>
            </w:r>
            <w:r w:rsidRPr="00943027">
              <w:rPr>
                <w:rFonts w:ascii="Arial" w:hAnsi="Arial" w:cs="Arial"/>
                <w:sz w:val="24"/>
                <w:szCs w:val="24"/>
              </w:rPr>
              <w:t>Council buildings</w:t>
            </w:r>
          </w:p>
          <w:p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High</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Due to this risk being assessed as being high, reports have been presented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progress with implementing the actions for improvement required to reduce the risk level, with assurance provided by the risk owner that the revised targets would be achieved</w:t>
            </w: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The need to fully implement all outstanding improvement actions relating to the Council’s strategic risks has been included in the AGS 2020/2021 action plan</w:t>
            </w:r>
          </w:p>
          <w:p w:rsidR="00241CE5" w:rsidRPr="00943027" w:rsidRDefault="00241CE5" w:rsidP="00EA1D98">
            <w:pPr>
              <w:rPr>
                <w:rFonts w:ascii="Arial" w:hAnsi="Arial" w:cs="Arial"/>
                <w:sz w:val="24"/>
                <w:szCs w:val="24"/>
              </w:rPr>
            </w:pP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sidRPr="00943027">
              <w:rPr>
                <w:rFonts w:ascii="Arial" w:hAnsi="Arial" w:cs="Arial"/>
                <w:sz w:val="24"/>
                <w:szCs w:val="24"/>
              </w:rPr>
              <w:t xml:space="preserve">Ineffective management of </w:t>
            </w:r>
            <w:r>
              <w:rPr>
                <w:rFonts w:ascii="Arial" w:hAnsi="Arial" w:cs="Arial"/>
                <w:sz w:val="24"/>
                <w:szCs w:val="24"/>
              </w:rPr>
              <w:t xml:space="preserve">Council HRA </w:t>
            </w:r>
            <w:r w:rsidRPr="00943027">
              <w:rPr>
                <w:rFonts w:ascii="Arial" w:hAnsi="Arial" w:cs="Arial"/>
                <w:sz w:val="24"/>
                <w:szCs w:val="24"/>
              </w:rPr>
              <w:t>buildings</w:t>
            </w:r>
          </w:p>
          <w:p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Reports have been presented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progress with implementing the actions for improvement required to reduce the risk level</w:t>
            </w:r>
          </w:p>
          <w:p w:rsidR="00EA1D98"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The need to fully implement all outstanding improvement actions relating to the Council’s strategic risks has been included in the AGS 2020/2021 action plan</w:t>
            </w:r>
          </w:p>
          <w:p w:rsidR="00EA1D98"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EA1D98" w:rsidRPr="00943027" w:rsidRDefault="00EA1D98" w:rsidP="00EA1D98">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Risk Level</w:t>
            </w:r>
          </w:p>
          <w:p w:rsidR="00EA1D98" w:rsidRDefault="00EA1D98" w:rsidP="00EA1D98">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4B7B24">
            <w:pPr>
              <w:jc w:val="center"/>
              <w:rPr>
                <w:rFonts w:ascii="Arial" w:hAnsi="Arial" w:cs="Arial"/>
                <w:sz w:val="24"/>
                <w:szCs w:val="24"/>
              </w:rPr>
            </w:pPr>
            <w:r>
              <w:rPr>
                <w:rFonts w:ascii="Arial" w:hAnsi="Arial" w:cs="Arial"/>
                <w:sz w:val="24"/>
                <w:szCs w:val="24"/>
              </w:rPr>
              <w:t xml:space="preserve">Real Time </w:t>
            </w:r>
            <w:r w:rsidR="004B7B24">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Assurance Gap / Actions</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Failure to deliver the expected outcomes in the Transformation Strategy</w:t>
            </w:r>
          </w:p>
        </w:tc>
        <w:tc>
          <w:tcPr>
            <w:tcW w:w="127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sidRPr="00943027">
              <w:rPr>
                <w:rFonts w:ascii="Arial" w:hAnsi="Arial" w:cs="Arial"/>
                <w:sz w:val="24"/>
                <w:szCs w:val="24"/>
              </w:rPr>
              <w:t xml:space="preserve">The </w:t>
            </w:r>
            <w:r>
              <w:rPr>
                <w:rFonts w:ascii="Arial" w:hAnsi="Arial" w:cs="Arial"/>
                <w:sz w:val="24"/>
                <w:szCs w:val="24"/>
              </w:rPr>
              <w:t>Corporate</w:t>
            </w:r>
            <w:r w:rsidRPr="00943027">
              <w:rPr>
                <w:rFonts w:ascii="Arial" w:hAnsi="Arial" w:cs="Arial"/>
                <w:sz w:val="24"/>
                <w:szCs w:val="24"/>
              </w:rPr>
              <w:t xml:space="preserve"> Assurance Manager </w:t>
            </w:r>
            <w:r>
              <w:rPr>
                <w:rFonts w:ascii="Arial" w:hAnsi="Arial" w:cs="Arial"/>
                <w:sz w:val="24"/>
                <w:szCs w:val="24"/>
              </w:rPr>
              <w:t>is a member of the Council’s Transformation Group</w:t>
            </w:r>
            <w:r w:rsidRPr="00943027">
              <w:rPr>
                <w:rFonts w:ascii="Arial" w:hAnsi="Arial" w:cs="Arial"/>
                <w:sz w:val="24"/>
                <w:szCs w:val="24"/>
              </w:rPr>
              <w:t xml:space="preserve"> </w:t>
            </w:r>
            <w:r>
              <w:rPr>
                <w:rFonts w:ascii="Arial" w:hAnsi="Arial" w:cs="Arial"/>
                <w:sz w:val="24"/>
                <w:szCs w:val="24"/>
              </w:rPr>
              <w:t xml:space="preserve">and the Head of Law and Governance is a member of the Transformation Board which provide </w:t>
            </w:r>
            <w:r w:rsidR="004B7B24">
              <w:rPr>
                <w:rFonts w:ascii="Arial" w:hAnsi="Arial" w:cs="Arial"/>
                <w:sz w:val="24"/>
                <w:szCs w:val="24"/>
              </w:rPr>
              <w:t>a</w:t>
            </w:r>
            <w:r>
              <w:rPr>
                <w:rFonts w:ascii="Arial" w:hAnsi="Arial" w:cs="Arial"/>
                <w:sz w:val="24"/>
                <w:szCs w:val="24"/>
              </w:rPr>
              <w:t>ssurance that delivery of the Council’s Transformation Strategy is being effectively monitored</w:t>
            </w: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 xml:space="preserve">Internal Audit will carry out a health check of the arrangements for identifying and reporting savings delivered from the transformation process during 2021/2022 </w:t>
            </w:r>
          </w:p>
          <w:p w:rsidR="004B7B24" w:rsidRPr="00943027" w:rsidRDefault="004B7B24" w:rsidP="00EA1D98">
            <w:pPr>
              <w:rPr>
                <w:rFonts w:ascii="Arial" w:hAnsi="Arial" w:cs="Arial"/>
                <w:sz w:val="24"/>
                <w:szCs w:val="24"/>
              </w:rPr>
            </w:pP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Non-compliance with legislation or ineffective governance leading to challenge</w:t>
            </w: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T</w:t>
            </w:r>
            <w:r w:rsidRPr="00943027">
              <w:rPr>
                <w:rFonts w:ascii="Arial" w:hAnsi="Arial" w:cs="Arial"/>
                <w:sz w:val="24"/>
                <w:szCs w:val="24"/>
              </w:rPr>
              <w:t xml:space="preserve">he </w:t>
            </w:r>
            <w:r>
              <w:rPr>
                <w:rFonts w:ascii="Arial" w:hAnsi="Arial" w:cs="Arial"/>
                <w:sz w:val="24"/>
                <w:szCs w:val="24"/>
              </w:rPr>
              <w:t>Corporate</w:t>
            </w:r>
            <w:r w:rsidRPr="00943027">
              <w:rPr>
                <w:rFonts w:ascii="Arial" w:hAnsi="Arial" w:cs="Arial"/>
                <w:sz w:val="24"/>
                <w:szCs w:val="24"/>
              </w:rPr>
              <w:t xml:space="preserve"> Assurance Manager</w:t>
            </w:r>
            <w:r>
              <w:rPr>
                <w:rFonts w:ascii="Arial" w:hAnsi="Arial" w:cs="Arial"/>
                <w:sz w:val="24"/>
                <w:szCs w:val="24"/>
              </w:rPr>
              <w:t xml:space="preserve"> has completed during 2020/2021 a review of the Council’s compliance with its Local Code of Governance which found the Council’s arrangements to be effective. The findings will be report to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23 June 2021 and will inform the AGS for 2020/2021</w:t>
            </w: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Harm to children or vulnerable adults due to the Council not meeting its safeguarding responsibilities</w:t>
            </w:r>
          </w:p>
          <w:p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No additional independent assurance was achieved during 2020/2021, although it is assessed as being low risk due to the effectiveness of existing internal controls which is supported by the Internal Audit review which was completed in 2019/2020</w:t>
            </w:r>
          </w:p>
          <w:p w:rsidR="00EA1D98" w:rsidRDefault="00EA1D98" w:rsidP="00EA1D98">
            <w:pPr>
              <w:rPr>
                <w:rFonts w:ascii="Arial" w:hAnsi="Arial" w:cs="Arial"/>
                <w:sz w:val="24"/>
                <w:szCs w:val="24"/>
              </w:rPr>
            </w:pPr>
          </w:p>
          <w:p w:rsidR="00EA1D98" w:rsidRDefault="00EA1D98" w:rsidP="00EA1D98">
            <w:pPr>
              <w:rPr>
                <w:rFonts w:ascii="Arial" w:hAnsi="Arial" w:cs="Arial"/>
                <w:sz w:val="24"/>
                <w:szCs w:val="24"/>
              </w:rPr>
            </w:pPr>
          </w:p>
          <w:p w:rsidR="00EA1D98"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EA1D98" w:rsidRPr="00943027" w:rsidRDefault="00EA1D98" w:rsidP="00EA1D98">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Risk Level</w:t>
            </w:r>
          </w:p>
          <w:p w:rsidR="00EA1D98" w:rsidRDefault="00EA1D98" w:rsidP="00EA1D98">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jc w:val="center"/>
              <w:rPr>
                <w:rFonts w:ascii="Arial" w:hAnsi="Arial" w:cs="Arial"/>
                <w:sz w:val="24"/>
                <w:szCs w:val="24"/>
              </w:rPr>
            </w:pPr>
            <w:r>
              <w:rPr>
                <w:rFonts w:ascii="Arial" w:hAnsi="Arial" w:cs="Arial"/>
                <w:sz w:val="24"/>
                <w:szCs w:val="24"/>
              </w:rPr>
              <w:t xml:space="preserve">Real Time </w:t>
            </w:r>
            <w:r w:rsidR="004B7B24">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Assurance Gap / Actions</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Default="00EA1D98" w:rsidP="00EA1D98">
            <w:pPr>
              <w:rPr>
                <w:rFonts w:ascii="Arial" w:hAnsi="Arial" w:cs="Arial"/>
                <w:sz w:val="24"/>
                <w:szCs w:val="24"/>
              </w:rPr>
            </w:pPr>
            <w:r w:rsidRPr="00943027">
              <w:rPr>
                <w:rFonts w:ascii="Arial" w:hAnsi="Arial" w:cs="Arial"/>
                <w:sz w:val="24"/>
                <w:szCs w:val="24"/>
              </w:rPr>
              <w:t xml:space="preserve">Failure to deliver services due to inadequate management and planning of the workforce </w:t>
            </w:r>
          </w:p>
          <w:p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Reports have been presented to CLT and the G</w:t>
            </w:r>
            <w:r w:rsidR="004B7B24">
              <w:rPr>
                <w:rFonts w:ascii="Arial" w:hAnsi="Arial" w:cs="Arial"/>
                <w:sz w:val="24"/>
                <w:szCs w:val="24"/>
              </w:rPr>
              <w:t>overnance</w:t>
            </w:r>
            <w:r>
              <w:rPr>
                <w:rFonts w:ascii="Arial" w:hAnsi="Arial" w:cs="Arial"/>
                <w:sz w:val="24"/>
                <w:szCs w:val="24"/>
              </w:rPr>
              <w:t xml:space="preserve"> </w:t>
            </w:r>
            <w:r w:rsidR="004B7B24">
              <w:rPr>
                <w:rFonts w:ascii="Arial" w:hAnsi="Arial" w:cs="Arial"/>
                <w:sz w:val="24"/>
                <w:szCs w:val="24"/>
              </w:rPr>
              <w:t>and</w:t>
            </w:r>
            <w:r>
              <w:rPr>
                <w:rFonts w:ascii="Arial" w:hAnsi="Arial" w:cs="Arial"/>
                <w:sz w:val="24"/>
                <w:szCs w:val="24"/>
              </w:rPr>
              <w:t xml:space="preserve"> S</w:t>
            </w:r>
            <w:r w:rsidR="004B7B24">
              <w:rPr>
                <w:rFonts w:ascii="Arial" w:hAnsi="Arial" w:cs="Arial"/>
                <w:sz w:val="24"/>
                <w:szCs w:val="24"/>
              </w:rPr>
              <w:t>tandards</w:t>
            </w:r>
            <w:r>
              <w:rPr>
                <w:rFonts w:ascii="Arial" w:hAnsi="Arial" w:cs="Arial"/>
                <w:sz w:val="24"/>
                <w:szCs w:val="24"/>
              </w:rPr>
              <w:t xml:space="preserve"> Committee on progress with implementing the actions for improvement required to reduce the risk level</w:t>
            </w:r>
          </w:p>
          <w:p w:rsidR="00EA1D98"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The need to fully implement all outstanding improvement actions relating to the Council’s strategic risks has been included in the AGS 2020/2021 action plan</w:t>
            </w:r>
          </w:p>
          <w:p w:rsidR="00EA1D98" w:rsidRPr="00943027" w:rsidRDefault="00EA1D98" w:rsidP="00EA1D98">
            <w:pPr>
              <w:rPr>
                <w:rFonts w:ascii="Arial" w:hAnsi="Arial" w:cs="Arial"/>
                <w:sz w:val="24"/>
                <w:szCs w:val="24"/>
              </w:rPr>
            </w:pP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Failure to deliver services due to lack of effective business continuity arrangements</w:t>
            </w:r>
          </w:p>
        </w:tc>
        <w:tc>
          <w:tcPr>
            <w:tcW w:w="1276" w:type="dxa"/>
            <w:tcBorders>
              <w:top w:val="single" w:sz="4" w:space="0" w:color="auto"/>
              <w:left w:val="single" w:sz="4" w:space="0" w:color="auto"/>
              <w:bottom w:val="single" w:sz="4" w:space="0" w:color="auto"/>
              <w:right w:val="single" w:sz="4" w:space="0" w:color="auto"/>
            </w:tcBorders>
          </w:tcPr>
          <w:p w:rsidR="00EA1D98" w:rsidRDefault="002E1DDC"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The Council’s business continuity arrangements were reviewed during 2020/2021 in response to Covid-19. In addition the Head of Law and Governance is a member of the  Council’s Resilience Board which oversees the Council’s business continuity and emergency planning arrangements</w:t>
            </w: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A review of the Council’s cyber security arrangements will be undertaken during 2021/2022 by Internal Audit</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Default="00EA1D98" w:rsidP="00EA1D98">
            <w:pPr>
              <w:rPr>
                <w:rFonts w:ascii="Arial" w:hAnsi="Arial" w:cs="Arial"/>
                <w:sz w:val="24"/>
                <w:szCs w:val="24"/>
              </w:rPr>
            </w:pPr>
            <w:r w:rsidRPr="00943027">
              <w:rPr>
                <w:rFonts w:ascii="Arial" w:hAnsi="Arial" w:cs="Arial"/>
                <w:sz w:val="24"/>
                <w:szCs w:val="24"/>
              </w:rPr>
              <w:t>Failure to provide an effective Council response to an emergency situation</w:t>
            </w:r>
          </w:p>
          <w:p w:rsidR="00EA1D98" w:rsidRPr="00943027" w:rsidRDefault="00EA1D98" w:rsidP="00EA1D98">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The Council’s emergency planning arrangements were reviewed during 2020/2021 in response to Covid-19. In addition the Head of Law and Governance is a member of the  Council’s Resilience Board which oversees the Council’s business continuity and emergency planning arrangements</w:t>
            </w:r>
          </w:p>
          <w:p w:rsidR="00A437D6" w:rsidRDefault="00A437D6" w:rsidP="00EA1D98">
            <w:pPr>
              <w:rPr>
                <w:rFonts w:ascii="Arial" w:hAnsi="Arial" w:cs="Arial"/>
                <w:sz w:val="24"/>
                <w:szCs w:val="24"/>
              </w:rPr>
            </w:pPr>
          </w:p>
          <w:p w:rsidR="00A437D6" w:rsidRDefault="00A437D6" w:rsidP="00EA1D98">
            <w:pPr>
              <w:rPr>
                <w:rFonts w:ascii="Arial" w:hAnsi="Arial" w:cs="Arial"/>
                <w:sz w:val="24"/>
                <w:szCs w:val="24"/>
              </w:rPr>
            </w:pPr>
          </w:p>
          <w:p w:rsidR="00A437D6" w:rsidRDefault="00A437D6" w:rsidP="00EA1D98">
            <w:pPr>
              <w:rPr>
                <w:rFonts w:ascii="Arial" w:hAnsi="Arial" w:cs="Arial"/>
                <w:sz w:val="24"/>
                <w:szCs w:val="24"/>
              </w:rPr>
            </w:pPr>
          </w:p>
          <w:p w:rsidR="00A437D6" w:rsidRDefault="00A437D6"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r w:rsidR="00A437D6" w:rsidRPr="00912974" w:rsidTr="00525E8D">
        <w:tc>
          <w:tcPr>
            <w:tcW w:w="3114"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A437D6" w:rsidRPr="00943027" w:rsidRDefault="00A437D6" w:rsidP="00A437D6">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Risk Level</w:t>
            </w:r>
          </w:p>
          <w:p w:rsidR="00A437D6" w:rsidRDefault="00A437D6" w:rsidP="00A437D6">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tcPr>
          <w:p w:rsidR="00A437D6" w:rsidRPr="00943027" w:rsidRDefault="00A437D6" w:rsidP="00A437D6">
            <w:pPr>
              <w:jc w:val="center"/>
              <w:rPr>
                <w:rFonts w:ascii="Arial" w:hAnsi="Arial" w:cs="Arial"/>
                <w:sz w:val="24"/>
                <w:szCs w:val="24"/>
              </w:rPr>
            </w:pPr>
            <w:r>
              <w:rPr>
                <w:rFonts w:ascii="Arial" w:hAnsi="Arial" w:cs="Arial"/>
                <w:sz w:val="24"/>
                <w:szCs w:val="24"/>
              </w:rPr>
              <w:t>Real Time Assurance Achieved</w:t>
            </w:r>
          </w:p>
        </w:tc>
        <w:tc>
          <w:tcPr>
            <w:tcW w:w="3046"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Assurance Gap / Actions</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Ineffective data management and security leading to a data breach</w:t>
            </w:r>
          </w:p>
        </w:tc>
        <w:tc>
          <w:tcPr>
            <w:tcW w:w="127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jc w:val="center"/>
              <w:rPr>
                <w:rFonts w:ascii="Arial" w:hAnsi="Arial" w:cs="Arial"/>
                <w:sz w:val="24"/>
                <w:szCs w:val="24"/>
              </w:rPr>
            </w:pPr>
            <w:r>
              <w:rPr>
                <w:rFonts w:ascii="Arial" w:hAnsi="Arial" w:cs="Arial"/>
                <w:sz w:val="24"/>
                <w:szCs w:val="24"/>
              </w:rPr>
              <w:t>Medium</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sidRPr="00943027">
              <w:rPr>
                <w:rFonts w:ascii="Arial" w:hAnsi="Arial" w:cs="Arial"/>
                <w:sz w:val="24"/>
                <w:szCs w:val="24"/>
              </w:rPr>
              <w:t xml:space="preserve">The </w:t>
            </w:r>
            <w:r>
              <w:rPr>
                <w:rFonts w:ascii="Arial" w:hAnsi="Arial" w:cs="Arial"/>
                <w:sz w:val="24"/>
                <w:szCs w:val="24"/>
              </w:rPr>
              <w:t>Corporate</w:t>
            </w:r>
            <w:r w:rsidRPr="00943027">
              <w:rPr>
                <w:rFonts w:ascii="Arial" w:hAnsi="Arial" w:cs="Arial"/>
                <w:sz w:val="24"/>
                <w:szCs w:val="24"/>
              </w:rPr>
              <w:t xml:space="preserve"> Assurance Manager is a member of the Council’s Information Governance Group</w:t>
            </w:r>
            <w:r>
              <w:rPr>
                <w:rFonts w:ascii="Arial" w:hAnsi="Arial" w:cs="Arial"/>
                <w:sz w:val="24"/>
                <w:szCs w:val="24"/>
              </w:rPr>
              <w:t xml:space="preserve"> which oversees the delivery of an annual work programme which provides assurance from relevant key stakeholders both internally and externally that the Council has effective data management arrangements in place</w:t>
            </w:r>
          </w:p>
          <w:p w:rsidR="00EA1D98" w:rsidRDefault="00EA1D98"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A review of the Council’s cyber security arrangements will be undertaken during 2021/2022 by Internal Audit</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Ineffective governance of commercial property investments</w:t>
            </w: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EA1D98" w:rsidRDefault="00EA1D98" w:rsidP="00EA1D98">
            <w:pPr>
              <w:rPr>
                <w:rFonts w:ascii="Arial" w:hAnsi="Arial" w:cs="Arial"/>
                <w:sz w:val="24"/>
                <w:szCs w:val="24"/>
              </w:rPr>
            </w:pPr>
            <w:r>
              <w:rPr>
                <w:rFonts w:ascii="Arial" w:hAnsi="Arial" w:cs="Arial"/>
                <w:sz w:val="24"/>
                <w:szCs w:val="24"/>
              </w:rPr>
              <w:t xml:space="preserve">The Corporate Assurance Manager is a member of the Council’s Asset Board which has responsibility for overseeing the management of the Council’s commercial property investments, with no new acquisitions during 2020/2021. </w:t>
            </w:r>
          </w:p>
          <w:p w:rsidR="00EA1D98" w:rsidRDefault="00EA1D98" w:rsidP="00EA1D98">
            <w:pPr>
              <w:rPr>
                <w:rFonts w:ascii="Arial" w:hAnsi="Arial" w:cs="Arial"/>
                <w:sz w:val="24"/>
                <w:szCs w:val="24"/>
              </w:rPr>
            </w:pPr>
          </w:p>
          <w:p w:rsidR="00EA1D98" w:rsidRDefault="00EA1D98" w:rsidP="00EA1D98">
            <w:pPr>
              <w:rPr>
                <w:rFonts w:ascii="Arial" w:hAnsi="Arial" w:cs="Arial"/>
                <w:sz w:val="24"/>
                <w:szCs w:val="24"/>
              </w:rPr>
            </w:pPr>
            <w:r>
              <w:rPr>
                <w:rFonts w:ascii="Arial" w:hAnsi="Arial" w:cs="Arial"/>
                <w:sz w:val="24"/>
                <w:szCs w:val="24"/>
              </w:rPr>
              <w:t>The Corporate Assurance Manager also attended the briefing session delivered to Members on the Council’s investment strategy which had been produced in consultation with the Council’s external auditors</w:t>
            </w:r>
          </w:p>
          <w:p w:rsidR="00EA1D98" w:rsidRDefault="00EA1D98" w:rsidP="00EA1D98">
            <w:pPr>
              <w:rPr>
                <w:rFonts w:ascii="Arial" w:hAnsi="Arial" w:cs="Arial"/>
                <w:sz w:val="24"/>
                <w:szCs w:val="24"/>
              </w:rPr>
            </w:pPr>
          </w:p>
          <w:p w:rsidR="00EA1D98" w:rsidRDefault="00EA1D98" w:rsidP="00EA1D98">
            <w:pPr>
              <w:rPr>
                <w:rFonts w:ascii="Arial" w:hAnsi="Arial" w:cs="Arial"/>
                <w:sz w:val="24"/>
                <w:szCs w:val="24"/>
              </w:rPr>
            </w:pPr>
            <w:r>
              <w:rPr>
                <w:rFonts w:ascii="Arial" w:hAnsi="Arial" w:cs="Arial"/>
                <w:sz w:val="24"/>
                <w:szCs w:val="24"/>
              </w:rPr>
              <w:t>The Head of Law and Governance is a member of the working group which is dealing with the issues relating to the Bedford Road commercial property</w:t>
            </w:r>
          </w:p>
          <w:p w:rsidR="00A437D6" w:rsidRDefault="00A437D6" w:rsidP="00EA1D98">
            <w:pPr>
              <w:rPr>
                <w:rFonts w:ascii="Arial" w:hAnsi="Arial" w:cs="Arial"/>
                <w:sz w:val="24"/>
                <w:szCs w:val="24"/>
              </w:rPr>
            </w:pPr>
          </w:p>
          <w:p w:rsidR="00A437D6" w:rsidRPr="00943027" w:rsidRDefault="00A437D6" w:rsidP="00EA1D98">
            <w:pPr>
              <w:rPr>
                <w:rFonts w:ascii="Arial" w:hAnsi="Arial" w:cs="Arial"/>
                <w:sz w:val="24"/>
                <w:szCs w:val="24"/>
              </w:rPr>
            </w:pP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Internal Audit will carry out a health check of the arrangements during 2021/2022</w:t>
            </w:r>
          </w:p>
        </w:tc>
      </w:tr>
      <w:tr w:rsidR="00A437D6" w:rsidRPr="00912974" w:rsidTr="00525E8D">
        <w:tc>
          <w:tcPr>
            <w:tcW w:w="3114"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 xml:space="preserve">Strategic </w:t>
            </w:r>
            <w:r w:rsidRPr="00943027">
              <w:rPr>
                <w:rFonts w:ascii="Arial" w:hAnsi="Arial" w:cs="Arial"/>
                <w:sz w:val="24"/>
                <w:szCs w:val="24"/>
              </w:rPr>
              <w:t>Risk</w:t>
            </w:r>
          </w:p>
          <w:p w:rsidR="00A437D6" w:rsidRPr="00943027" w:rsidRDefault="00A437D6" w:rsidP="00A437D6">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Risk Level</w:t>
            </w:r>
          </w:p>
          <w:p w:rsidR="00A437D6" w:rsidRDefault="00A437D6" w:rsidP="00A437D6">
            <w:pPr>
              <w:jc w:val="center"/>
              <w:rPr>
                <w:rFonts w:ascii="Arial" w:hAnsi="Arial" w:cs="Arial"/>
                <w:sz w:val="24"/>
                <w:szCs w:val="24"/>
              </w:rPr>
            </w:pPr>
          </w:p>
        </w:tc>
        <w:tc>
          <w:tcPr>
            <w:tcW w:w="5514" w:type="dxa"/>
            <w:tcBorders>
              <w:top w:val="single" w:sz="4" w:space="0" w:color="auto"/>
              <w:left w:val="single" w:sz="4" w:space="0" w:color="auto"/>
              <w:bottom w:val="single" w:sz="4" w:space="0" w:color="auto"/>
              <w:right w:val="single" w:sz="4" w:space="0" w:color="auto"/>
            </w:tcBorders>
          </w:tcPr>
          <w:p w:rsidR="00A437D6" w:rsidRPr="00943027" w:rsidRDefault="00A437D6" w:rsidP="00A437D6">
            <w:pPr>
              <w:jc w:val="center"/>
              <w:rPr>
                <w:rFonts w:ascii="Arial" w:hAnsi="Arial" w:cs="Arial"/>
                <w:sz w:val="24"/>
                <w:szCs w:val="24"/>
              </w:rPr>
            </w:pPr>
            <w:r>
              <w:rPr>
                <w:rFonts w:ascii="Arial" w:hAnsi="Arial" w:cs="Arial"/>
                <w:sz w:val="24"/>
                <w:szCs w:val="24"/>
              </w:rPr>
              <w:t xml:space="preserve">Real Time </w:t>
            </w:r>
            <w:r w:rsidR="00904CEA">
              <w:rPr>
                <w:rFonts w:ascii="Arial" w:hAnsi="Arial" w:cs="Arial"/>
                <w:sz w:val="24"/>
                <w:szCs w:val="24"/>
              </w:rPr>
              <w:t xml:space="preserve">Proactive </w:t>
            </w:r>
            <w:r>
              <w:rPr>
                <w:rFonts w:ascii="Arial" w:hAnsi="Arial" w:cs="Arial"/>
                <w:sz w:val="24"/>
                <w:szCs w:val="24"/>
              </w:rPr>
              <w:t>Assurance Achieved</w:t>
            </w:r>
          </w:p>
        </w:tc>
        <w:tc>
          <w:tcPr>
            <w:tcW w:w="3046" w:type="dxa"/>
            <w:tcBorders>
              <w:top w:val="single" w:sz="4" w:space="0" w:color="auto"/>
              <w:left w:val="single" w:sz="4" w:space="0" w:color="auto"/>
              <w:bottom w:val="single" w:sz="4" w:space="0" w:color="auto"/>
              <w:right w:val="single" w:sz="4" w:space="0" w:color="auto"/>
            </w:tcBorders>
          </w:tcPr>
          <w:p w:rsidR="00A437D6" w:rsidRDefault="00A437D6" w:rsidP="00A437D6">
            <w:pPr>
              <w:jc w:val="center"/>
              <w:rPr>
                <w:rFonts w:ascii="Arial" w:hAnsi="Arial" w:cs="Arial"/>
                <w:sz w:val="24"/>
                <w:szCs w:val="24"/>
              </w:rPr>
            </w:pPr>
            <w:r>
              <w:rPr>
                <w:rFonts w:ascii="Arial" w:hAnsi="Arial" w:cs="Arial"/>
                <w:sz w:val="24"/>
                <w:szCs w:val="24"/>
              </w:rPr>
              <w:t>Assurance Gap / Actions</w:t>
            </w:r>
          </w:p>
        </w:tc>
      </w:tr>
      <w:tr w:rsidR="00EA1D98" w:rsidRPr="00912974" w:rsidTr="00525E8D">
        <w:tc>
          <w:tcPr>
            <w:tcW w:w="3114" w:type="dxa"/>
            <w:tcBorders>
              <w:top w:val="single" w:sz="4" w:space="0" w:color="auto"/>
              <w:left w:val="single" w:sz="4" w:space="0" w:color="auto"/>
              <w:bottom w:val="single" w:sz="4" w:space="0" w:color="auto"/>
              <w:right w:val="single" w:sz="4" w:space="0" w:color="auto"/>
            </w:tcBorders>
            <w:hideMark/>
          </w:tcPr>
          <w:p w:rsidR="00EA1D98" w:rsidRPr="00943027" w:rsidRDefault="00EA1D98" w:rsidP="00EA1D98">
            <w:pPr>
              <w:rPr>
                <w:rFonts w:ascii="Arial" w:hAnsi="Arial" w:cs="Arial"/>
                <w:sz w:val="24"/>
                <w:szCs w:val="24"/>
              </w:rPr>
            </w:pPr>
            <w:r w:rsidRPr="00943027">
              <w:rPr>
                <w:rFonts w:ascii="Arial" w:hAnsi="Arial" w:cs="Arial"/>
                <w:sz w:val="24"/>
                <w:szCs w:val="24"/>
              </w:rPr>
              <w:t>Adverse impact on service delivery due to Brexit</w:t>
            </w:r>
          </w:p>
        </w:tc>
        <w:tc>
          <w:tcPr>
            <w:tcW w:w="1276" w:type="dxa"/>
            <w:tcBorders>
              <w:top w:val="single" w:sz="4" w:space="0" w:color="auto"/>
              <w:left w:val="single" w:sz="4" w:space="0" w:color="auto"/>
              <w:bottom w:val="single" w:sz="4" w:space="0" w:color="auto"/>
              <w:right w:val="single" w:sz="4" w:space="0" w:color="auto"/>
            </w:tcBorders>
          </w:tcPr>
          <w:p w:rsidR="00EA1D98" w:rsidRDefault="00EA1D98" w:rsidP="00EA1D98">
            <w:pPr>
              <w:jc w:val="center"/>
              <w:rPr>
                <w:rFonts w:ascii="Arial" w:hAnsi="Arial" w:cs="Arial"/>
                <w:sz w:val="24"/>
                <w:szCs w:val="24"/>
              </w:rPr>
            </w:pPr>
            <w:r>
              <w:rPr>
                <w:rFonts w:ascii="Arial" w:hAnsi="Arial" w:cs="Arial"/>
                <w:sz w:val="24"/>
                <w:szCs w:val="24"/>
              </w:rPr>
              <w:t>Low</w:t>
            </w:r>
          </w:p>
        </w:tc>
        <w:tc>
          <w:tcPr>
            <w:tcW w:w="5514"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The Corporate Assurance Manager is a member of the Business Recovery Group which is responsible for assessing the impact of Brexit and agreeing any actions required</w:t>
            </w:r>
          </w:p>
          <w:p w:rsidR="00EA1D98" w:rsidRPr="00943027" w:rsidRDefault="00EA1D98" w:rsidP="00EA1D98">
            <w:pPr>
              <w:rPr>
                <w:rFonts w:ascii="Arial" w:hAnsi="Arial" w:cs="Arial"/>
                <w:sz w:val="24"/>
                <w:szCs w:val="24"/>
              </w:rPr>
            </w:pPr>
          </w:p>
        </w:tc>
        <w:tc>
          <w:tcPr>
            <w:tcW w:w="3046" w:type="dxa"/>
            <w:tcBorders>
              <w:top w:val="single" w:sz="4" w:space="0" w:color="auto"/>
              <w:left w:val="single" w:sz="4" w:space="0" w:color="auto"/>
              <w:bottom w:val="single" w:sz="4" w:space="0" w:color="auto"/>
              <w:right w:val="single" w:sz="4" w:space="0" w:color="auto"/>
            </w:tcBorders>
          </w:tcPr>
          <w:p w:rsidR="00EA1D98" w:rsidRPr="00943027" w:rsidRDefault="00EA1D98" w:rsidP="00EA1D98">
            <w:pPr>
              <w:rPr>
                <w:rFonts w:ascii="Arial" w:hAnsi="Arial" w:cs="Arial"/>
                <w:sz w:val="24"/>
                <w:szCs w:val="24"/>
              </w:rPr>
            </w:pPr>
            <w:r>
              <w:rPr>
                <w:rFonts w:ascii="Arial" w:hAnsi="Arial" w:cs="Arial"/>
                <w:sz w:val="24"/>
                <w:szCs w:val="24"/>
              </w:rPr>
              <w:t>No further action required</w:t>
            </w:r>
          </w:p>
        </w:tc>
      </w:tr>
    </w:tbl>
    <w:p w:rsidR="00525E8D" w:rsidRDefault="00525E8D" w:rsidP="00525E8D">
      <w:pPr>
        <w:pStyle w:val="BodyTextIndent"/>
        <w:ind w:left="709" w:right="-270" w:hanging="709"/>
        <w:rPr>
          <w:rFonts w:ascii="Arial" w:hAnsi="Arial" w:cs="Arial"/>
          <w:szCs w:val="24"/>
        </w:rPr>
      </w:pPr>
    </w:p>
    <w:p w:rsidR="00525E8D" w:rsidRDefault="00525E8D" w:rsidP="00525E8D">
      <w:pPr>
        <w:pStyle w:val="BodyTextIndent"/>
        <w:ind w:left="709" w:right="-270"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C931B5" w:rsidRDefault="00C931B5" w:rsidP="00300E33">
      <w:pPr>
        <w:pStyle w:val="BodyTextIndent"/>
        <w:ind w:left="709" w:hanging="709"/>
        <w:rPr>
          <w:rFonts w:ascii="Arial" w:hAnsi="Arial" w:cs="Arial"/>
          <w:szCs w:val="24"/>
        </w:rPr>
      </w:pPr>
    </w:p>
    <w:p w:rsidR="00F668CC" w:rsidRDefault="00F668CC" w:rsidP="00300E33">
      <w:pPr>
        <w:pStyle w:val="BodyTextIndent"/>
        <w:ind w:left="709" w:hanging="709"/>
        <w:rPr>
          <w:rFonts w:ascii="Arial" w:hAnsi="Arial" w:cs="Arial"/>
          <w:szCs w:val="24"/>
        </w:rPr>
        <w:sectPr w:rsidR="00F668CC" w:rsidSect="0057782A">
          <w:pgSz w:w="15840" w:h="12240" w:orient="landscape"/>
          <w:pgMar w:top="1800" w:right="1440" w:bottom="1800" w:left="1440" w:header="720" w:footer="720" w:gutter="0"/>
          <w:cols w:space="720"/>
          <w:docGrid w:linePitch="272"/>
        </w:sectPr>
      </w:pPr>
    </w:p>
    <w:p w:rsidR="008C1AF9" w:rsidRPr="00003384" w:rsidRDefault="008C1AF9" w:rsidP="008C1AF9">
      <w:pPr>
        <w:pStyle w:val="BodyTextIndent"/>
        <w:ind w:left="567" w:hanging="567"/>
        <w:rPr>
          <w:rFonts w:ascii="Arial" w:hAnsi="Arial" w:cs="Arial"/>
          <w:b/>
          <w:szCs w:val="24"/>
        </w:rPr>
      </w:pPr>
      <w:r w:rsidRPr="00003384">
        <w:rPr>
          <w:rFonts w:ascii="Arial" w:hAnsi="Arial" w:cs="Arial"/>
          <w:b/>
          <w:szCs w:val="24"/>
          <w:u w:val="single"/>
        </w:rPr>
        <w:t>Performance of Internal Audit Service</w:t>
      </w:r>
    </w:p>
    <w:p w:rsidR="008C1AF9" w:rsidRDefault="008C1AF9" w:rsidP="008C1AF9">
      <w:pPr>
        <w:pStyle w:val="BodyTextIndent"/>
        <w:ind w:left="567" w:hanging="567"/>
        <w:rPr>
          <w:rFonts w:ascii="Arial" w:hAnsi="Arial" w:cs="Arial"/>
          <w:szCs w:val="24"/>
        </w:rPr>
      </w:pPr>
    </w:p>
    <w:p w:rsidR="008C1AF9" w:rsidRDefault="008C1AF9" w:rsidP="008C1AF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11</w:t>
      </w:r>
      <w:r>
        <w:rPr>
          <w:rFonts w:ascii="Arial" w:hAnsi="Arial" w:cs="Arial"/>
          <w:szCs w:val="24"/>
        </w:rPr>
        <w:tab/>
      </w:r>
      <w:r w:rsidR="00A20047">
        <w:rPr>
          <w:rFonts w:ascii="Arial" w:hAnsi="Arial" w:cs="Arial"/>
          <w:szCs w:val="24"/>
        </w:rPr>
        <w:t xml:space="preserve">At the meeting of the Governance &amp; Standards Committee on </w:t>
      </w:r>
      <w:r w:rsidR="00443E58">
        <w:rPr>
          <w:rFonts w:ascii="Arial" w:hAnsi="Arial" w:cs="Arial"/>
          <w:szCs w:val="24"/>
        </w:rPr>
        <w:t xml:space="preserve">30 July 2020, it was agreed that a set of </w:t>
      </w:r>
      <w:r>
        <w:rPr>
          <w:rFonts w:ascii="Arial" w:hAnsi="Arial" w:cs="Arial"/>
          <w:szCs w:val="24"/>
        </w:rPr>
        <w:t xml:space="preserve">Local Performance Indicators (PIs) </w:t>
      </w:r>
      <w:r w:rsidR="00443E58">
        <w:rPr>
          <w:rFonts w:ascii="Arial" w:hAnsi="Arial" w:cs="Arial"/>
          <w:szCs w:val="24"/>
        </w:rPr>
        <w:t>would be used to evaluate the performance of the Internal Audit Service during 2020/2021</w:t>
      </w:r>
      <w:r w:rsidR="007200D5">
        <w:rPr>
          <w:rFonts w:ascii="Arial" w:hAnsi="Arial" w:cs="Arial"/>
          <w:szCs w:val="24"/>
        </w:rPr>
        <w:t xml:space="preserve">. </w:t>
      </w:r>
    </w:p>
    <w:p w:rsidR="00443E58" w:rsidRDefault="00443E58" w:rsidP="008C1AF9">
      <w:pPr>
        <w:pStyle w:val="BodyTextIndent"/>
        <w:ind w:hanging="720"/>
        <w:rPr>
          <w:rFonts w:ascii="Arial" w:hAnsi="Arial" w:cs="Arial"/>
          <w:szCs w:val="24"/>
        </w:rPr>
      </w:pPr>
    </w:p>
    <w:p w:rsidR="00443E58" w:rsidRDefault="00443E58" w:rsidP="008C1AF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12</w:t>
      </w:r>
      <w:r>
        <w:rPr>
          <w:rFonts w:ascii="Arial" w:hAnsi="Arial" w:cs="Arial"/>
          <w:szCs w:val="24"/>
        </w:rPr>
        <w:tab/>
        <w:t>Due to the continued impact of the pandemic and the further lockdowns that were not foreseen at the time that these PIs were developed, it has not been meaningful to collate out turns for certain of them for the reasons stated in Table 3 below.</w:t>
      </w:r>
    </w:p>
    <w:p w:rsidR="000D08E2" w:rsidRDefault="000D08E2" w:rsidP="008C1AF9">
      <w:pPr>
        <w:pStyle w:val="BodyTextIndent"/>
        <w:ind w:hanging="720"/>
        <w:rPr>
          <w:rFonts w:ascii="Arial" w:hAnsi="Arial" w:cs="Arial"/>
          <w:szCs w:val="24"/>
        </w:rPr>
      </w:pPr>
    </w:p>
    <w:p w:rsidR="000D08E2" w:rsidRPr="000D08E2" w:rsidRDefault="000D08E2" w:rsidP="008C1AF9">
      <w:pPr>
        <w:pStyle w:val="BodyTextIndent"/>
        <w:ind w:hanging="720"/>
        <w:rPr>
          <w:rFonts w:ascii="Arial" w:hAnsi="Arial" w:cs="Arial"/>
          <w:b/>
          <w:szCs w:val="24"/>
          <w:u w:val="single"/>
        </w:rPr>
      </w:pPr>
      <w:r>
        <w:rPr>
          <w:rFonts w:ascii="Arial" w:hAnsi="Arial" w:cs="Arial"/>
          <w:b/>
          <w:szCs w:val="24"/>
          <w:u w:val="single"/>
        </w:rPr>
        <w:t>Table 3: Performance Out Turns for 2020/2021</w:t>
      </w:r>
    </w:p>
    <w:tbl>
      <w:tblPr>
        <w:tblW w:w="10206" w:type="dxa"/>
        <w:tblLayout w:type="fixed"/>
        <w:tblCellMar>
          <w:left w:w="30" w:type="dxa"/>
          <w:right w:w="30" w:type="dxa"/>
        </w:tblCellMar>
        <w:tblLook w:val="04A0" w:firstRow="1" w:lastRow="0" w:firstColumn="1" w:lastColumn="0" w:noHBand="0" w:noVBand="1"/>
      </w:tblPr>
      <w:tblGrid>
        <w:gridCol w:w="4536"/>
        <w:gridCol w:w="1701"/>
        <w:gridCol w:w="3969"/>
      </w:tblGrid>
      <w:tr w:rsidR="00443E58" w:rsidTr="00443E58">
        <w:trPr>
          <w:trHeight w:val="247"/>
        </w:trPr>
        <w:tc>
          <w:tcPr>
            <w:tcW w:w="4536" w:type="dxa"/>
          </w:tcPr>
          <w:p w:rsidR="00443E58" w:rsidRPr="00992811" w:rsidRDefault="00443E58" w:rsidP="00210C51">
            <w:pPr>
              <w:autoSpaceDE w:val="0"/>
              <w:autoSpaceDN w:val="0"/>
              <w:adjustRightInd w:val="0"/>
              <w:rPr>
                <w:rFonts w:ascii="Arial" w:hAnsi="Arial" w:cs="Arial"/>
                <w:color w:val="000000"/>
                <w:sz w:val="24"/>
                <w:szCs w:val="24"/>
                <w:u w:val="single"/>
              </w:rPr>
            </w:pPr>
          </w:p>
        </w:tc>
        <w:tc>
          <w:tcPr>
            <w:tcW w:w="1701" w:type="dxa"/>
          </w:tcPr>
          <w:p w:rsidR="00443E58" w:rsidRPr="00992811" w:rsidRDefault="00443E58" w:rsidP="00210C51">
            <w:pPr>
              <w:autoSpaceDE w:val="0"/>
              <w:autoSpaceDN w:val="0"/>
              <w:adjustRightInd w:val="0"/>
              <w:jc w:val="right"/>
              <w:rPr>
                <w:rFonts w:ascii="Arial" w:hAnsi="Arial" w:cs="Arial"/>
                <w:b/>
                <w:bCs/>
                <w:color w:val="000000"/>
                <w:sz w:val="24"/>
                <w:szCs w:val="24"/>
              </w:rPr>
            </w:pPr>
          </w:p>
        </w:tc>
        <w:tc>
          <w:tcPr>
            <w:tcW w:w="3969" w:type="dxa"/>
          </w:tcPr>
          <w:p w:rsidR="00443E58" w:rsidRPr="00992811" w:rsidRDefault="00443E58" w:rsidP="00210C51">
            <w:pPr>
              <w:autoSpaceDE w:val="0"/>
              <w:autoSpaceDN w:val="0"/>
              <w:adjustRightInd w:val="0"/>
              <w:jc w:val="right"/>
              <w:rPr>
                <w:rFonts w:ascii="Arial" w:hAnsi="Arial" w:cs="Arial"/>
                <w:b/>
                <w:bCs/>
                <w:color w:val="000000"/>
                <w:sz w:val="24"/>
                <w:szCs w:val="24"/>
              </w:rPr>
            </w:pPr>
          </w:p>
        </w:tc>
      </w:tr>
      <w:tr w:rsidR="00443E58" w:rsidTr="00443E58">
        <w:trPr>
          <w:trHeight w:val="305"/>
        </w:trPr>
        <w:tc>
          <w:tcPr>
            <w:tcW w:w="4536" w:type="dxa"/>
            <w:tcBorders>
              <w:top w:val="nil"/>
              <w:left w:val="nil"/>
              <w:bottom w:val="single" w:sz="12" w:space="0" w:color="000000"/>
              <w:right w:val="nil"/>
            </w:tcBorders>
          </w:tcPr>
          <w:p w:rsidR="00443E58" w:rsidRPr="00992811" w:rsidRDefault="00443E58" w:rsidP="00210C51">
            <w:pPr>
              <w:autoSpaceDE w:val="0"/>
              <w:autoSpaceDN w:val="0"/>
              <w:adjustRightInd w:val="0"/>
              <w:jc w:val="right"/>
              <w:rPr>
                <w:rFonts w:ascii="Arial" w:hAnsi="Arial" w:cs="Arial"/>
                <w:color w:val="000000"/>
                <w:sz w:val="24"/>
                <w:szCs w:val="24"/>
              </w:rPr>
            </w:pPr>
          </w:p>
        </w:tc>
        <w:tc>
          <w:tcPr>
            <w:tcW w:w="1701" w:type="dxa"/>
            <w:tcBorders>
              <w:top w:val="nil"/>
              <w:left w:val="nil"/>
              <w:bottom w:val="single" w:sz="12" w:space="0" w:color="000000"/>
              <w:right w:val="nil"/>
            </w:tcBorders>
          </w:tcPr>
          <w:p w:rsidR="00443E58" w:rsidRPr="00992811" w:rsidRDefault="00443E58" w:rsidP="00210C51">
            <w:pPr>
              <w:autoSpaceDE w:val="0"/>
              <w:autoSpaceDN w:val="0"/>
              <w:adjustRightInd w:val="0"/>
              <w:jc w:val="right"/>
              <w:rPr>
                <w:rFonts w:ascii="Arial" w:hAnsi="Arial" w:cs="Arial"/>
                <w:color w:val="000000"/>
                <w:sz w:val="24"/>
                <w:szCs w:val="24"/>
              </w:rPr>
            </w:pPr>
          </w:p>
        </w:tc>
        <w:tc>
          <w:tcPr>
            <w:tcW w:w="3969" w:type="dxa"/>
            <w:tcBorders>
              <w:top w:val="nil"/>
              <w:left w:val="nil"/>
              <w:bottom w:val="single" w:sz="12" w:space="0" w:color="000000"/>
              <w:right w:val="nil"/>
            </w:tcBorders>
          </w:tcPr>
          <w:p w:rsidR="00443E58" w:rsidRPr="00992811" w:rsidRDefault="00443E58" w:rsidP="00210C51">
            <w:pPr>
              <w:autoSpaceDE w:val="0"/>
              <w:autoSpaceDN w:val="0"/>
              <w:adjustRightInd w:val="0"/>
              <w:jc w:val="right"/>
              <w:rPr>
                <w:rFonts w:ascii="Arial" w:hAnsi="Arial" w:cs="Arial"/>
                <w:color w:val="000000"/>
                <w:sz w:val="24"/>
                <w:szCs w:val="24"/>
              </w:rPr>
            </w:pPr>
          </w:p>
        </w:tc>
      </w:tr>
      <w:tr w:rsidR="00443E58" w:rsidTr="00443E58">
        <w:trPr>
          <w:trHeight w:val="348"/>
        </w:trPr>
        <w:tc>
          <w:tcPr>
            <w:tcW w:w="4536" w:type="dxa"/>
            <w:tcBorders>
              <w:top w:val="single" w:sz="12" w:space="0" w:color="000000"/>
              <w:left w:val="single" w:sz="12" w:space="0" w:color="000000"/>
              <w:bottom w:val="nil"/>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Performance Indicator</w:t>
            </w:r>
          </w:p>
        </w:tc>
        <w:tc>
          <w:tcPr>
            <w:tcW w:w="1701" w:type="dxa"/>
            <w:tcBorders>
              <w:top w:val="single" w:sz="12" w:space="0" w:color="000000"/>
              <w:left w:val="single" w:sz="12" w:space="0" w:color="000000"/>
              <w:bottom w:val="nil"/>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Target</w:t>
            </w:r>
          </w:p>
        </w:tc>
        <w:tc>
          <w:tcPr>
            <w:tcW w:w="3969" w:type="dxa"/>
            <w:tcBorders>
              <w:top w:val="single" w:sz="12" w:space="0" w:color="000000"/>
              <w:left w:val="single" w:sz="12" w:space="0" w:color="000000"/>
              <w:bottom w:val="nil"/>
              <w:right w:val="single" w:sz="12" w:space="0" w:color="000000"/>
            </w:tcBorders>
          </w:tcPr>
          <w:p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Out Turn Position</w:t>
            </w:r>
          </w:p>
        </w:tc>
      </w:tr>
      <w:tr w:rsidR="00443E58" w:rsidTr="00443E58">
        <w:trPr>
          <w:trHeight w:val="348"/>
        </w:trPr>
        <w:tc>
          <w:tcPr>
            <w:tcW w:w="4536" w:type="dxa"/>
            <w:tcBorders>
              <w:top w:val="nil"/>
              <w:left w:val="single" w:sz="12" w:space="0" w:color="000000"/>
              <w:bottom w:val="single" w:sz="12" w:space="0" w:color="000000"/>
              <w:right w:val="single" w:sz="12" w:space="0" w:color="000000"/>
            </w:tcBorders>
          </w:tcPr>
          <w:p w:rsidR="00443E58" w:rsidRPr="00992811" w:rsidRDefault="00443E58" w:rsidP="00210C51">
            <w:pPr>
              <w:autoSpaceDE w:val="0"/>
              <w:autoSpaceDN w:val="0"/>
              <w:adjustRightInd w:val="0"/>
              <w:jc w:val="right"/>
              <w:rPr>
                <w:rFonts w:ascii="Arial" w:hAnsi="Arial" w:cs="Arial"/>
                <w:color w:val="000000"/>
                <w:sz w:val="24"/>
                <w:szCs w:val="24"/>
              </w:rPr>
            </w:pPr>
          </w:p>
        </w:tc>
        <w:tc>
          <w:tcPr>
            <w:tcW w:w="1701" w:type="dxa"/>
            <w:tcBorders>
              <w:top w:val="nil"/>
              <w:left w:val="single" w:sz="12" w:space="0" w:color="000000"/>
              <w:bottom w:val="single" w:sz="12" w:space="0" w:color="000000"/>
              <w:right w:val="single" w:sz="12" w:space="0" w:color="000000"/>
            </w:tcBorders>
          </w:tcPr>
          <w:p w:rsidR="00443E58" w:rsidRPr="00992811" w:rsidRDefault="00443E58" w:rsidP="00210C51">
            <w:pPr>
              <w:autoSpaceDE w:val="0"/>
              <w:autoSpaceDN w:val="0"/>
              <w:adjustRightInd w:val="0"/>
              <w:rPr>
                <w:rFonts w:ascii="Arial" w:hAnsi="Arial" w:cs="Arial"/>
                <w:color w:val="000000"/>
                <w:sz w:val="24"/>
                <w:szCs w:val="24"/>
              </w:rPr>
            </w:pPr>
          </w:p>
        </w:tc>
        <w:tc>
          <w:tcPr>
            <w:tcW w:w="3969" w:type="dxa"/>
            <w:tcBorders>
              <w:top w:val="nil"/>
              <w:left w:val="single" w:sz="12" w:space="0" w:color="000000"/>
              <w:bottom w:val="single" w:sz="12" w:space="0" w:color="000000"/>
              <w:right w:val="single" w:sz="12" w:space="0" w:color="000000"/>
            </w:tcBorders>
          </w:tcPr>
          <w:p w:rsidR="00443E58" w:rsidRPr="00992811" w:rsidRDefault="00443E58" w:rsidP="00210C51">
            <w:pPr>
              <w:autoSpaceDE w:val="0"/>
              <w:autoSpaceDN w:val="0"/>
              <w:adjustRightInd w:val="0"/>
              <w:rPr>
                <w:rFonts w:ascii="Arial" w:hAnsi="Arial" w:cs="Arial"/>
                <w:color w:val="000000"/>
                <w:sz w:val="24"/>
                <w:szCs w:val="24"/>
              </w:rPr>
            </w:pPr>
          </w:p>
        </w:tc>
      </w:tr>
      <w:tr w:rsidR="00443E58" w:rsidTr="00443E58">
        <w:trPr>
          <w:trHeight w:val="1207"/>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completion of approved Audit Plan with agreed revisions (Key)</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rsidR="00443E58" w:rsidRDefault="00443E58" w:rsidP="00443E58">
            <w:pPr>
              <w:autoSpaceDE w:val="0"/>
              <w:autoSpaceDN w:val="0"/>
              <w:adjustRightInd w:val="0"/>
              <w:rPr>
                <w:rFonts w:ascii="Arial" w:hAnsi="Arial" w:cs="Arial"/>
                <w:color w:val="000000"/>
                <w:sz w:val="24"/>
                <w:szCs w:val="24"/>
              </w:rPr>
            </w:pPr>
            <w:r>
              <w:rPr>
                <w:rFonts w:ascii="Arial" w:hAnsi="Arial" w:cs="Arial"/>
                <w:color w:val="000000"/>
                <w:sz w:val="24"/>
                <w:szCs w:val="24"/>
              </w:rPr>
              <w:t>Due to the audit planning process being revised during 2020/2021 to a more flexible methodology with quarterly plans being produced, it is not considered that this PI is now meaningful</w:t>
            </w:r>
          </w:p>
          <w:p w:rsidR="00443E58" w:rsidRPr="00992811" w:rsidRDefault="00443E58" w:rsidP="00443E58">
            <w:pPr>
              <w:autoSpaceDE w:val="0"/>
              <w:autoSpaceDN w:val="0"/>
              <w:adjustRightInd w:val="0"/>
              <w:rPr>
                <w:rFonts w:ascii="Arial" w:hAnsi="Arial" w:cs="Arial"/>
                <w:color w:val="000000"/>
                <w:sz w:val="24"/>
                <w:szCs w:val="24"/>
              </w:rPr>
            </w:pPr>
          </w:p>
        </w:tc>
      </w:tr>
      <w:tr w:rsidR="00443E58" w:rsidTr="00443E58">
        <w:trPr>
          <w:trHeight w:val="960"/>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of unproductive time (Key)</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&lt; 4%</w:t>
            </w:r>
          </w:p>
        </w:tc>
        <w:tc>
          <w:tcPr>
            <w:tcW w:w="3969" w:type="dxa"/>
            <w:tcBorders>
              <w:top w:val="single" w:sz="12" w:space="0" w:color="000000"/>
              <w:left w:val="single" w:sz="12" w:space="0" w:color="000000"/>
              <w:bottom w:val="single" w:sz="12" w:space="0" w:color="000000"/>
              <w:right w:val="single" w:sz="12" w:space="0" w:color="000000"/>
            </w:tcBorders>
          </w:tcPr>
          <w:p w:rsidR="00443E58" w:rsidRPr="00992811" w:rsidRDefault="00E5324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5%</w:t>
            </w:r>
          </w:p>
        </w:tc>
      </w:tr>
      <w:tr w:rsidR="00443E58" w:rsidTr="00443E58">
        <w:trPr>
          <w:trHeight w:val="1250"/>
        </w:trPr>
        <w:tc>
          <w:tcPr>
            <w:tcW w:w="4536" w:type="dxa"/>
            <w:tcBorders>
              <w:top w:val="single" w:sz="12" w:space="0" w:color="000000"/>
              <w:left w:val="single" w:sz="12" w:space="0" w:color="000000"/>
              <w:bottom w:val="single" w:sz="12" w:space="0" w:color="000000"/>
              <w:right w:val="single" w:sz="12" w:space="0" w:color="000000"/>
            </w:tcBorders>
          </w:tcPr>
          <w:p w:rsidR="00443E58" w:rsidRPr="00992811" w:rsidRDefault="00443E58" w:rsidP="00210C51">
            <w:pPr>
              <w:autoSpaceDE w:val="0"/>
              <w:autoSpaceDN w:val="0"/>
              <w:adjustRightInd w:val="0"/>
              <w:rPr>
                <w:rFonts w:ascii="Arial" w:hAnsi="Arial" w:cs="Arial"/>
                <w:color w:val="000000"/>
                <w:sz w:val="24"/>
                <w:szCs w:val="24"/>
              </w:rPr>
            </w:pPr>
            <w:r>
              <w:rPr>
                <w:rFonts w:ascii="Arial" w:hAnsi="Arial" w:cs="Arial"/>
                <w:color w:val="000000"/>
                <w:sz w:val="24"/>
                <w:szCs w:val="24"/>
              </w:rPr>
              <w:t>% of draft audit memos / reports issued to management within 10 working days of completion of review (Key)</w:t>
            </w:r>
          </w:p>
        </w:tc>
        <w:tc>
          <w:tcPr>
            <w:tcW w:w="1701" w:type="dxa"/>
            <w:tcBorders>
              <w:top w:val="single" w:sz="12" w:space="0" w:color="000000"/>
              <w:left w:val="single" w:sz="12" w:space="0" w:color="000000"/>
              <w:bottom w:val="single" w:sz="12" w:space="0" w:color="000000"/>
              <w:right w:val="single" w:sz="12" w:space="0" w:color="000000"/>
            </w:tcBorders>
          </w:tcPr>
          <w:p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rsidR="00443E58" w:rsidRDefault="003111EA" w:rsidP="003111E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Due to the additional tranches of Covid-19 business grants that occurred during 2020/2021 and Internal Audit’s involvement in verifying the applications, substantial delays arose in the normal auditing process which has resulted in this PI not being meaningful </w:t>
            </w:r>
          </w:p>
          <w:p w:rsidR="003111EA" w:rsidRDefault="003111EA" w:rsidP="003111EA">
            <w:pPr>
              <w:autoSpaceDE w:val="0"/>
              <w:autoSpaceDN w:val="0"/>
              <w:adjustRightInd w:val="0"/>
              <w:rPr>
                <w:rFonts w:ascii="Arial" w:hAnsi="Arial" w:cs="Arial"/>
                <w:color w:val="000000"/>
                <w:sz w:val="24"/>
                <w:szCs w:val="24"/>
              </w:rPr>
            </w:pPr>
          </w:p>
        </w:tc>
      </w:tr>
      <w:tr w:rsidR="00443E58" w:rsidTr="00443E58">
        <w:trPr>
          <w:trHeight w:val="1250"/>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draft audit memos / reports finalised within 10 working days of closure meeting unless extension approved by the </w:t>
            </w:r>
            <w:r>
              <w:rPr>
                <w:rFonts w:ascii="Arial" w:hAnsi="Arial" w:cs="Arial"/>
                <w:color w:val="000000"/>
                <w:sz w:val="24"/>
                <w:szCs w:val="24"/>
              </w:rPr>
              <w:t>Corporate</w:t>
            </w:r>
            <w:r w:rsidRPr="00992811">
              <w:rPr>
                <w:rFonts w:ascii="Arial" w:hAnsi="Arial" w:cs="Arial"/>
                <w:color w:val="000000"/>
                <w:sz w:val="24"/>
                <w:szCs w:val="24"/>
              </w:rPr>
              <w:t xml:space="preserve"> Assurance Manager (Key)</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rsidR="003111EA" w:rsidRDefault="003111EA" w:rsidP="003111E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Due to the additional tranches of Covid-19 business grants that occurred during 2020/2021 and Internal Audit’s involvement in verifying the applications, substantial delays arose in the normal auditing process which has resulted in this PI not being meaningful </w:t>
            </w:r>
          </w:p>
          <w:p w:rsidR="00443E58" w:rsidRPr="00992811" w:rsidRDefault="00443E58" w:rsidP="003111EA">
            <w:pPr>
              <w:autoSpaceDE w:val="0"/>
              <w:autoSpaceDN w:val="0"/>
              <w:adjustRightInd w:val="0"/>
              <w:rPr>
                <w:rFonts w:ascii="Arial" w:hAnsi="Arial" w:cs="Arial"/>
                <w:color w:val="000000"/>
                <w:sz w:val="24"/>
                <w:szCs w:val="24"/>
              </w:rPr>
            </w:pPr>
          </w:p>
        </w:tc>
      </w:tr>
      <w:tr w:rsidR="00443E58" w:rsidTr="00443E58">
        <w:trPr>
          <w:trHeight w:val="1222"/>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individual audit system reviews completed within target days or prior approved extension by the </w:t>
            </w:r>
            <w:r>
              <w:rPr>
                <w:rFonts w:ascii="Arial" w:hAnsi="Arial" w:cs="Arial"/>
                <w:color w:val="000000"/>
                <w:sz w:val="24"/>
                <w:szCs w:val="24"/>
              </w:rPr>
              <w:t>Corporate</w:t>
            </w:r>
            <w:r w:rsidRPr="00992811">
              <w:rPr>
                <w:rFonts w:ascii="Arial" w:hAnsi="Arial" w:cs="Arial"/>
                <w:color w:val="000000"/>
                <w:sz w:val="24"/>
                <w:szCs w:val="24"/>
              </w:rPr>
              <w:t xml:space="preserve"> Assurance Manager (Key)</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c>
          <w:tcPr>
            <w:tcW w:w="3969" w:type="dxa"/>
            <w:tcBorders>
              <w:top w:val="single" w:sz="12" w:space="0" w:color="000000"/>
              <w:left w:val="single" w:sz="12" w:space="0" w:color="000000"/>
              <w:bottom w:val="single" w:sz="12" w:space="0" w:color="000000"/>
              <w:right w:val="single" w:sz="12" w:space="0" w:color="000000"/>
            </w:tcBorders>
          </w:tcPr>
          <w:p w:rsidR="00443E58" w:rsidRPr="00992811" w:rsidRDefault="008D5F3D"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r>
      <w:tr w:rsidR="00443E58" w:rsidTr="00443E58">
        <w:trPr>
          <w:trHeight w:val="1236"/>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audit time spent on providing additional value to the Council as per agreed methodology (Management Information) </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1</w:t>
            </w:r>
            <w:r w:rsidRPr="00992811">
              <w:rPr>
                <w:rFonts w:ascii="Arial" w:hAnsi="Arial" w:cs="Arial"/>
                <w:color w:val="000000"/>
                <w:sz w:val="24"/>
                <w:szCs w:val="24"/>
              </w:rPr>
              <w:t xml:space="preserve">5 - </w:t>
            </w:r>
            <w:r>
              <w:rPr>
                <w:rFonts w:ascii="Arial" w:hAnsi="Arial" w:cs="Arial"/>
                <w:color w:val="000000"/>
                <w:sz w:val="24"/>
                <w:szCs w:val="24"/>
              </w:rPr>
              <w:t>2</w:t>
            </w:r>
            <w:r w:rsidRPr="00992811">
              <w:rPr>
                <w:rFonts w:ascii="Arial" w:hAnsi="Arial" w:cs="Arial"/>
                <w:color w:val="000000"/>
                <w:sz w:val="24"/>
                <w:szCs w:val="24"/>
              </w:rPr>
              <w:t>0%</w:t>
            </w:r>
          </w:p>
        </w:tc>
        <w:tc>
          <w:tcPr>
            <w:tcW w:w="3969" w:type="dxa"/>
            <w:tcBorders>
              <w:top w:val="single" w:sz="12" w:space="0" w:color="000000"/>
              <w:left w:val="single" w:sz="12" w:space="0" w:color="000000"/>
              <w:bottom w:val="single" w:sz="12" w:space="0" w:color="000000"/>
              <w:right w:val="single" w:sz="12" w:space="0" w:color="000000"/>
            </w:tcBorders>
          </w:tcPr>
          <w:p w:rsidR="00443E58" w:rsidRDefault="00803B06"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83%</w:t>
            </w:r>
          </w:p>
        </w:tc>
      </w:tr>
      <w:tr w:rsidR="00443E58" w:rsidTr="00443E58">
        <w:trPr>
          <w:trHeight w:val="960"/>
        </w:trPr>
        <w:tc>
          <w:tcPr>
            <w:tcW w:w="4536"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rPr>
                <w:rFonts w:ascii="Arial" w:hAnsi="Arial" w:cs="Arial"/>
                <w:color w:val="000000"/>
                <w:sz w:val="24"/>
                <w:szCs w:val="24"/>
              </w:rPr>
            </w:pPr>
            <w:r w:rsidRPr="00992811">
              <w:rPr>
                <w:rFonts w:ascii="Arial" w:hAnsi="Arial" w:cs="Arial"/>
                <w:color w:val="000000"/>
                <w:sz w:val="24"/>
                <w:szCs w:val="24"/>
              </w:rPr>
              <w:t>No of working days lost per Internal Audit employee due to sickness / hospital appointments (Management Information)</w:t>
            </w:r>
          </w:p>
        </w:tc>
        <w:tc>
          <w:tcPr>
            <w:tcW w:w="1701" w:type="dxa"/>
            <w:tcBorders>
              <w:top w:val="single" w:sz="12" w:space="0" w:color="000000"/>
              <w:left w:val="single" w:sz="12" w:space="0" w:color="000000"/>
              <w:bottom w:val="single" w:sz="12" w:space="0" w:color="000000"/>
              <w:right w:val="single" w:sz="12" w:space="0" w:color="000000"/>
            </w:tcBorders>
            <w:hideMark/>
          </w:tcPr>
          <w:p w:rsidR="00443E58" w:rsidRPr="00992811" w:rsidRDefault="00443E58"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c>
          <w:tcPr>
            <w:tcW w:w="3969" w:type="dxa"/>
            <w:tcBorders>
              <w:top w:val="single" w:sz="12" w:space="0" w:color="000000"/>
              <w:left w:val="single" w:sz="12" w:space="0" w:color="000000"/>
              <w:bottom w:val="single" w:sz="12" w:space="0" w:color="000000"/>
              <w:right w:val="single" w:sz="12" w:space="0" w:color="000000"/>
            </w:tcBorders>
          </w:tcPr>
          <w:p w:rsidR="00443E58" w:rsidRDefault="00FB1C2E" w:rsidP="00210C51">
            <w:pPr>
              <w:autoSpaceDE w:val="0"/>
              <w:autoSpaceDN w:val="0"/>
              <w:adjustRightInd w:val="0"/>
              <w:jc w:val="center"/>
              <w:rPr>
                <w:rFonts w:ascii="Arial" w:hAnsi="Arial" w:cs="Arial"/>
                <w:color w:val="000000"/>
                <w:sz w:val="24"/>
                <w:szCs w:val="24"/>
              </w:rPr>
            </w:pPr>
            <w:r>
              <w:rPr>
                <w:rFonts w:ascii="Arial" w:hAnsi="Arial" w:cs="Arial"/>
                <w:color w:val="000000"/>
                <w:sz w:val="24"/>
                <w:szCs w:val="24"/>
              </w:rPr>
              <w:t>0.5</w:t>
            </w:r>
          </w:p>
        </w:tc>
      </w:tr>
    </w:tbl>
    <w:p w:rsidR="00443E58" w:rsidRDefault="00443E58" w:rsidP="00443E58">
      <w:pPr>
        <w:pStyle w:val="BodyTextIndent"/>
        <w:ind w:hanging="720"/>
        <w:rPr>
          <w:rFonts w:ascii="Arial" w:hAnsi="Arial" w:cs="Arial"/>
          <w:szCs w:val="24"/>
        </w:rPr>
      </w:pPr>
    </w:p>
    <w:p w:rsidR="00F60380" w:rsidRDefault="00443E58" w:rsidP="008C1AF9">
      <w:pPr>
        <w:pStyle w:val="BodyTextIndent"/>
        <w:ind w:hanging="720"/>
        <w:rPr>
          <w:rFonts w:ascii="Arial" w:hAnsi="Arial" w:cs="Arial"/>
          <w:szCs w:val="24"/>
        </w:rPr>
      </w:pPr>
      <w:r>
        <w:rPr>
          <w:rFonts w:ascii="Arial" w:hAnsi="Arial" w:cs="Arial"/>
          <w:szCs w:val="24"/>
        </w:rPr>
        <w:t xml:space="preserve"> </w:t>
      </w:r>
    </w:p>
    <w:p w:rsidR="00C17E09" w:rsidRDefault="00190A5D" w:rsidP="000D08E2">
      <w:pPr>
        <w:pStyle w:val="BodyTextIndent"/>
        <w:ind w:right="-149" w:hanging="720"/>
        <w:rPr>
          <w:rFonts w:ascii="Arial" w:hAnsi="Arial" w:cs="Arial"/>
          <w:szCs w:val="24"/>
        </w:rPr>
      </w:pPr>
      <w:r>
        <w:rPr>
          <w:rFonts w:ascii="Arial" w:hAnsi="Arial" w:cs="Arial"/>
          <w:szCs w:val="24"/>
        </w:rPr>
        <w:t>3.</w:t>
      </w:r>
      <w:r w:rsidR="00904CEA">
        <w:rPr>
          <w:rFonts w:ascii="Arial" w:hAnsi="Arial" w:cs="Arial"/>
          <w:szCs w:val="24"/>
        </w:rPr>
        <w:t>13</w:t>
      </w:r>
      <w:r>
        <w:rPr>
          <w:rFonts w:ascii="Arial" w:hAnsi="Arial" w:cs="Arial"/>
          <w:szCs w:val="24"/>
        </w:rPr>
        <w:tab/>
      </w:r>
      <w:r w:rsidR="00151F29">
        <w:rPr>
          <w:rFonts w:ascii="Arial" w:hAnsi="Arial" w:cs="Arial"/>
          <w:szCs w:val="24"/>
        </w:rPr>
        <w:t xml:space="preserve">It is hoped that the delivery of the </w:t>
      </w:r>
      <w:r w:rsidR="00C17E09">
        <w:rPr>
          <w:rFonts w:ascii="Arial" w:hAnsi="Arial" w:cs="Arial"/>
          <w:szCs w:val="24"/>
        </w:rPr>
        <w:t>Internal Audit</w:t>
      </w:r>
      <w:r w:rsidR="00151F29">
        <w:rPr>
          <w:rFonts w:ascii="Arial" w:hAnsi="Arial" w:cs="Arial"/>
          <w:szCs w:val="24"/>
        </w:rPr>
        <w:t xml:space="preserve"> Service will return to a greater degree of normality during </w:t>
      </w:r>
      <w:r w:rsidR="00C17E09">
        <w:rPr>
          <w:rFonts w:ascii="Arial" w:hAnsi="Arial" w:cs="Arial"/>
          <w:szCs w:val="24"/>
        </w:rPr>
        <w:t>20</w:t>
      </w:r>
      <w:r w:rsidR="00307A7E">
        <w:rPr>
          <w:rFonts w:ascii="Arial" w:hAnsi="Arial" w:cs="Arial"/>
          <w:szCs w:val="24"/>
        </w:rPr>
        <w:t>2</w:t>
      </w:r>
      <w:r w:rsidR="00151F29">
        <w:rPr>
          <w:rFonts w:ascii="Arial" w:hAnsi="Arial" w:cs="Arial"/>
          <w:szCs w:val="24"/>
        </w:rPr>
        <w:t>1</w:t>
      </w:r>
      <w:r w:rsidR="00C17E09">
        <w:rPr>
          <w:rFonts w:ascii="Arial" w:hAnsi="Arial" w:cs="Arial"/>
          <w:szCs w:val="24"/>
        </w:rPr>
        <w:t>/20</w:t>
      </w:r>
      <w:r w:rsidR="00ED7D33">
        <w:rPr>
          <w:rFonts w:ascii="Arial" w:hAnsi="Arial" w:cs="Arial"/>
          <w:szCs w:val="24"/>
        </w:rPr>
        <w:t>2</w:t>
      </w:r>
      <w:r w:rsidR="00151F29">
        <w:rPr>
          <w:rFonts w:ascii="Arial" w:hAnsi="Arial" w:cs="Arial"/>
          <w:szCs w:val="24"/>
        </w:rPr>
        <w:t xml:space="preserve">2 and that performance measurement will be more meaningful and therefore the following set of PIs, with their targets, will be adopted as </w:t>
      </w:r>
      <w:r w:rsidR="00C17E09">
        <w:rPr>
          <w:rFonts w:ascii="Arial" w:hAnsi="Arial" w:cs="Arial"/>
          <w:szCs w:val="24"/>
        </w:rPr>
        <w:t xml:space="preserve">detailed in </w:t>
      </w:r>
      <w:r w:rsidR="002F137A">
        <w:rPr>
          <w:rFonts w:ascii="Arial" w:hAnsi="Arial" w:cs="Arial"/>
          <w:szCs w:val="24"/>
        </w:rPr>
        <w:t>Table</w:t>
      </w:r>
      <w:r w:rsidR="00C17E09">
        <w:rPr>
          <w:rFonts w:ascii="Arial" w:hAnsi="Arial" w:cs="Arial"/>
          <w:szCs w:val="24"/>
        </w:rPr>
        <w:t xml:space="preserve"> </w:t>
      </w:r>
      <w:r w:rsidR="00151F29">
        <w:rPr>
          <w:rFonts w:ascii="Arial" w:hAnsi="Arial" w:cs="Arial"/>
          <w:szCs w:val="24"/>
        </w:rPr>
        <w:t>4</w:t>
      </w:r>
      <w:r w:rsidR="00C17E09">
        <w:rPr>
          <w:rFonts w:ascii="Arial" w:hAnsi="Arial" w:cs="Arial"/>
          <w:szCs w:val="24"/>
        </w:rPr>
        <w:t xml:space="preserve">. </w:t>
      </w:r>
    </w:p>
    <w:p w:rsidR="004266C0" w:rsidRDefault="004266C0" w:rsidP="00C17E09">
      <w:pPr>
        <w:pStyle w:val="BodyTextIndent"/>
        <w:ind w:hanging="720"/>
        <w:rPr>
          <w:rFonts w:ascii="Arial" w:hAnsi="Arial" w:cs="Arial"/>
          <w:szCs w:val="24"/>
        </w:rPr>
      </w:pPr>
    </w:p>
    <w:tbl>
      <w:tblPr>
        <w:tblW w:w="9639" w:type="dxa"/>
        <w:tblLayout w:type="fixed"/>
        <w:tblCellMar>
          <w:left w:w="30" w:type="dxa"/>
          <w:right w:w="30" w:type="dxa"/>
        </w:tblCellMar>
        <w:tblLook w:val="04A0" w:firstRow="1" w:lastRow="0" w:firstColumn="1" w:lastColumn="0" w:noHBand="0" w:noVBand="1"/>
      </w:tblPr>
      <w:tblGrid>
        <w:gridCol w:w="7371"/>
        <w:gridCol w:w="2268"/>
      </w:tblGrid>
      <w:tr w:rsidR="00992811" w:rsidTr="00151F29">
        <w:trPr>
          <w:trHeight w:val="247"/>
        </w:trPr>
        <w:tc>
          <w:tcPr>
            <w:tcW w:w="7371" w:type="dxa"/>
          </w:tcPr>
          <w:p w:rsidR="00992811" w:rsidRPr="00151F29" w:rsidRDefault="00151F29" w:rsidP="00151F29">
            <w:pPr>
              <w:autoSpaceDE w:val="0"/>
              <w:autoSpaceDN w:val="0"/>
              <w:adjustRightInd w:val="0"/>
              <w:ind w:right="-2434"/>
              <w:rPr>
                <w:rFonts w:ascii="Arial" w:hAnsi="Arial" w:cs="Arial"/>
                <w:b/>
                <w:color w:val="000000"/>
                <w:sz w:val="24"/>
                <w:szCs w:val="24"/>
                <w:u w:val="single"/>
              </w:rPr>
            </w:pPr>
            <w:r>
              <w:rPr>
                <w:rFonts w:ascii="Arial" w:hAnsi="Arial" w:cs="Arial"/>
                <w:b/>
                <w:color w:val="000000"/>
                <w:sz w:val="24"/>
                <w:szCs w:val="24"/>
                <w:u w:val="single"/>
              </w:rPr>
              <w:t>Table 4</w:t>
            </w:r>
            <w:r w:rsidR="00992811" w:rsidRPr="00151F29">
              <w:rPr>
                <w:rFonts w:ascii="Arial" w:hAnsi="Arial" w:cs="Arial"/>
                <w:b/>
                <w:color w:val="000000"/>
                <w:sz w:val="24"/>
                <w:szCs w:val="24"/>
                <w:u w:val="single"/>
              </w:rPr>
              <w:t>: Internal Audit’s Performance Indic</w:t>
            </w:r>
            <w:r w:rsidR="00003384">
              <w:rPr>
                <w:rFonts w:ascii="Arial" w:hAnsi="Arial" w:cs="Arial"/>
                <w:b/>
                <w:color w:val="000000"/>
                <w:sz w:val="24"/>
                <w:szCs w:val="24"/>
                <w:u w:val="single"/>
              </w:rPr>
              <w:t>a</w:t>
            </w:r>
            <w:r w:rsidR="00992811" w:rsidRPr="00151F29">
              <w:rPr>
                <w:rFonts w:ascii="Arial" w:hAnsi="Arial" w:cs="Arial"/>
                <w:b/>
                <w:color w:val="000000"/>
                <w:sz w:val="24"/>
                <w:szCs w:val="24"/>
                <w:u w:val="single"/>
              </w:rPr>
              <w:t>tors for 20</w:t>
            </w:r>
            <w:r w:rsidR="00B46721" w:rsidRPr="00151F29">
              <w:rPr>
                <w:rFonts w:ascii="Arial" w:hAnsi="Arial" w:cs="Arial"/>
                <w:b/>
                <w:color w:val="000000"/>
                <w:sz w:val="24"/>
                <w:szCs w:val="24"/>
                <w:u w:val="single"/>
              </w:rPr>
              <w:t>2</w:t>
            </w:r>
            <w:r>
              <w:rPr>
                <w:rFonts w:ascii="Arial" w:hAnsi="Arial" w:cs="Arial"/>
                <w:b/>
                <w:color w:val="000000"/>
                <w:sz w:val="24"/>
                <w:szCs w:val="24"/>
                <w:u w:val="single"/>
              </w:rPr>
              <w:t>1</w:t>
            </w:r>
            <w:r w:rsidR="00992811" w:rsidRPr="00151F29">
              <w:rPr>
                <w:rFonts w:ascii="Arial" w:hAnsi="Arial" w:cs="Arial"/>
                <w:b/>
                <w:color w:val="000000"/>
                <w:sz w:val="24"/>
                <w:szCs w:val="24"/>
                <w:u w:val="single"/>
              </w:rPr>
              <w:t>/20</w:t>
            </w:r>
            <w:r w:rsidR="009C3D75" w:rsidRPr="00151F29">
              <w:rPr>
                <w:rFonts w:ascii="Arial" w:hAnsi="Arial" w:cs="Arial"/>
                <w:b/>
                <w:color w:val="000000"/>
                <w:sz w:val="24"/>
                <w:szCs w:val="24"/>
                <w:u w:val="single"/>
              </w:rPr>
              <w:t>2</w:t>
            </w:r>
            <w:r>
              <w:rPr>
                <w:rFonts w:ascii="Arial" w:hAnsi="Arial" w:cs="Arial"/>
                <w:b/>
                <w:color w:val="000000"/>
                <w:sz w:val="24"/>
                <w:szCs w:val="24"/>
                <w:u w:val="single"/>
              </w:rPr>
              <w:t>2</w:t>
            </w:r>
          </w:p>
        </w:tc>
        <w:tc>
          <w:tcPr>
            <w:tcW w:w="2268" w:type="dxa"/>
          </w:tcPr>
          <w:p w:rsidR="00992811" w:rsidRPr="00992811" w:rsidRDefault="00992811" w:rsidP="00151F29">
            <w:pPr>
              <w:autoSpaceDE w:val="0"/>
              <w:autoSpaceDN w:val="0"/>
              <w:adjustRightInd w:val="0"/>
              <w:ind w:left="1098" w:hanging="1098"/>
              <w:jc w:val="right"/>
              <w:rPr>
                <w:rFonts w:ascii="Arial" w:hAnsi="Arial" w:cs="Arial"/>
                <w:b/>
                <w:bCs/>
                <w:color w:val="000000"/>
                <w:sz w:val="24"/>
                <w:szCs w:val="24"/>
              </w:rPr>
            </w:pPr>
          </w:p>
        </w:tc>
      </w:tr>
      <w:tr w:rsidR="00992811" w:rsidTr="00151F29">
        <w:trPr>
          <w:trHeight w:val="305"/>
        </w:trPr>
        <w:tc>
          <w:tcPr>
            <w:tcW w:w="7371" w:type="dxa"/>
            <w:tcBorders>
              <w:top w:val="nil"/>
              <w:left w:val="nil"/>
              <w:bottom w:val="single" w:sz="12" w:space="0" w:color="000000"/>
              <w:right w:val="nil"/>
            </w:tcBorders>
          </w:tcPr>
          <w:p w:rsidR="00992811" w:rsidRPr="00992811" w:rsidRDefault="00992811">
            <w:pPr>
              <w:autoSpaceDE w:val="0"/>
              <w:autoSpaceDN w:val="0"/>
              <w:adjustRightInd w:val="0"/>
              <w:jc w:val="right"/>
              <w:rPr>
                <w:rFonts w:ascii="Arial" w:hAnsi="Arial" w:cs="Arial"/>
                <w:color w:val="000000"/>
                <w:sz w:val="24"/>
                <w:szCs w:val="24"/>
              </w:rPr>
            </w:pPr>
          </w:p>
        </w:tc>
        <w:tc>
          <w:tcPr>
            <w:tcW w:w="2268" w:type="dxa"/>
            <w:tcBorders>
              <w:top w:val="nil"/>
              <w:left w:val="nil"/>
              <w:bottom w:val="single" w:sz="12" w:space="0" w:color="000000"/>
              <w:right w:val="nil"/>
            </w:tcBorders>
          </w:tcPr>
          <w:p w:rsidR="00992811" w:rsidRPr="00992811" w:rsidRDefault="00992811">
            <w:pPr>
              <w:autoSpaceDE w:val="0"/>
              <w:autoSpaceDN w:val="0"/>
              <w:adjustRightInd w:val="0"/>
              <w:jc w:val="right"/>
              <w:rPr>
                <w:rFonts w:ascii="Arial" w:hAnsi="Arial" w:cs="Arial"/>
                <w:color w:val="000000"/>
                <w:sz w:val="24"/>
                <w:szCs w:val="24"/>
              </w:rPr>
            </w:pPr>
          </w:p>
        </w:tc>
      </w:tr>
      <w:tr w:rsidR="00992811" w:rsidTr="00151F29">
        <w:trPr>
          <w:trHeight w:val="348"/>
        </w:trPr>
        <w:tc>
          <w:tcPr>
            <w:tcW w:w="7371" w:type="dxa"/>
            <w:tcBorders>
              <w:top w:val="single" w:sz="12" w:space="0" w:color="000000"/>
              <w:left w:val="single" w:sz="12" w:space="0" w:color="000000"/>
              <w:bottom w:val="nil"/>
              <w:right w:val="single" w:sz="12" w:space="0" w:color="000000"/>
            </w:tcBorders>
            <w:hideMark/>
          </w:tcPr>
          <w:p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Performance Indicator</w:t>
            </w:r>
          </w:p>
        </w:tc>
        <w:tc>
          <w:tcPr>
            <w:tcW w:w="2268" w:type="dxa"/>
            <w:tcBorders>
              <w:top w:val="single" w:sz="12" w:space="0" w:color="000000"/>
              <w:left w:val="single" w:sz="12" w:space="0" w:color="000000"/>
              <w:bottom w:val="nil"/>
              <w:right w:val="single" w:sz="12" w:space="0" w:color="000000"/>
            </w:tcBorders>
            <w:hideMark/>
          </w:tcPr>
          <w:p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Target</w:t>
            </w:r>
          </w:p>
        </w:tc>
      </w:tr>
      <w:tr w:rsidR="00992811" w:rsidTr="00151F29">
        <w:trPr>
          <w:trHeight w:val="348"/>
        </w:trPr>
        <w:tc>
          <w:tcPr>
            <w:tcW w:w="7371" w:type="dxa"/>
            <w:tcBorders>
              <w:top w:val="nil"/>
              <w:left w:val="single" w:sz="12" w:space="0" w:color="000000"/>
              <w:bottom w:val="single" w:sz="12" w:space="0" w:color="000000"/>
              <w:right w:val="single" w:sz="12" w:space="0" w:color="000000"/>
            </w:tcBorders>
          </w:tcPr>
          <w:p w:rsidR="00992811" w:rsidRPr="00992811" w:rsidRDefault="00992811">
            <w:pPr>
              <w:autoSpaceDE w:val="0"/>
              <w:autoSpaceDN w:val="0"/>
              <w:adjustRightInd w:val="0"/>
              <w:jc w:val="right"/>
              <w:rPr>
                <w:rFonts w:ascii="Arial" w:hAnsi="Arial" w:cs="Arial"/>
                <w:color w:val="000000"/>
                <w:sz w:val="24"/>
                <w:szCs w:val="24"/>
              </w:rPr>
            </w:pPr>
          </w:p>
        </w:tc>
        <w:tc>
          <w:tcPr>
            <w:tcW w:w="2268" w:type="dxa"/>
            <w:tcBorders>
              <w:top w:val="nil"/>
              <w:left w:val="single" w:sz="12" w:space="0" w:color="000000"/>
              <w:bottom w:val="single" w:sz="12" w:space="0" w:color="000000"/>
              <w:right w:val="single" w:sz="12" w:space="0" w:color="000000"/>
            </w:tcBorders>
          </w:tcPr>
          <w:p w:rsidR="00992811" w:rsidRPr="00992811" w:rsidRDefault="00992811">
            <w:pPr>
              <w:autoSpaceDE w:val="0"/>
              <w:autoSpaceDN w:val="0"/>
              <w:adjustRightInd w:val="0"/>
              <w:rPr>
                <w:rFonts w:ascii="Arial" w:hAnsi="Arial" w:cs="Arial"/>
                <w:color w:val="000000"/>
                <w:sz w:val="24"/>
                <w:szCs w:val="24"/>
              </w:rPr>
            </w:pPr>
          </w:p>
        </w:tc>
      </w:tr>
      <w:tr w:rsidR="00992811" w:rsidTr="00151F29">
        <w:trPr>
          <w:trHeight w:val="1207"/>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6735AD" w:rsidP="006A671E">
            <w:pPr>
              <w:autoSpaceDE w:val="0"/>
              <w:autoSpaceDN w:val="0"/>
              <w:adjustRightInd w:val="0"/>
              <w:rPr>
                <w:rFonts w:ascii="Arial" w:hAnsi="Arial" w:cs="Arial"/>
                <w:color w:val="000000"/>
                <w:sz w:val="24"/>
                <w:szCs w:val="24"/>
              </w:rPr>
            </w:pPr>
            <w:r w:rsidRPr="006735AD">
              <w:rPr>
                <w:rFonts w:ascii="Arial" w:hAnsi="Arial" w:cs="Arial"/>
                <w:color w:val="000000"/>
                <w:sz w:val="24"/>
                <w:szCs w:val="24"/>
              </w:rPr>
              <w:t xml:space="preserve">Levels of satisfaction with audit reviews completed </w:t>
            </w:r>
            <w:r w:rsidR="006A671E">
              <w:rPr>
                <w:rFonts w:ascii="Arial" w:hAnsi="Arial" w:cs="Arial"/>
                <w:color w:val="000000"/>
                <w:sz w:val="24"/>
                <w:szCs w:val="24"/>
              </w:rPr>
              <w:t xml:space="preserve">informed from </w:t>
            </w:r>
            <w:r w:rsidRPr="006735AD">
              <w:rPr>
                <w:rFonts w:ascii="Arial" w:hAnsi="Arial" w:cs="Arial"/>
                <w:color w:val="000000"/>
                <w:sz w:val="24"/>
                <w:szCs w:val="24"/>
              </w:rPr>
              <w:t xml:space="preserve">audit </w:t>
            </w:r>
            <w:r w:rsidR="006A671E">
              <w:rPr>
                <w:rFonts w:ascii="Arial" w:hAnsi="Arial" w:cs="Arial"/>
                <w:color w:val="000000"/>
                <w:sz w:val="24"/>
                <w:szCs w:val="24"/>
              </w:rPr>
              <w:t>closure meetings</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6735AD">
            <w:pPr>
              <w:autoSpaceDE w:val="0"/>
              <w:autoSpaceDN w:val="0"/>
              <w:adjustRightInd w:val="0"/>
              <w:jc w:val="center"/>
              <w:rPr>
                <w:rFonts w:ascii="Arial" w:hAnsi="Arial" w:cs="Arial"/>
                <w:color w:val="000000"/>
                <w:sz w:val="24"/>
                <w:szCs w:val="24"/>
              </w:rPr>
            </w:pPr>
            <w:r>
              <w:rPr>
                <w:rFonts w:ascii="Arial" w:hAnsi="Arial" w:cs="Arial"/>
                <w:color w:val="000000"/>
                <w:sz w:val="24"/>
                <w:szCs w:val="24"/>
              </w:rPr>
              <w:t>9</w:t>
            </w:r>
            <w:r w:rsidR="00992811" w:rsidRPr="00992811">
              <w:rPr>
                <w:rFonts w:ascii="Arial" w:hAnsi="Arial" w:cs="Arial"/>
                <w:color w:val="000000"/>
                <w:sz w:val="24"/>
                <w:szCs w:val="24"/>
              </w:rPr>
              <w:t>0%</w:t>
            </w:r>
          </w:p>
        </w:tc>
      </w:tr>
      <w:tr w:rsidR="00992811" w:rsidTr="00151F29">
        <w:trPr>
          <w:trHeight w:val="960"/>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unproductive time </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&lt; 4%</w:t>
            </w:r>
          </w:p>
        </w:tc>
      </w:tr>
      <w:tr w:rsidR="001F7826" w:rsidTr="00151F29">
        <w:trPr>
          <w:trHeight w:val="1250"/>
        </w:trPr>
        <w:tc>
          <w:tcPr>
            <w:tcW w:w="7371" w:type="dxa"/>
            <w:tcBorders>
              <w:top w:val="single" w:sz="12" w:space="0" w:color="000000"/>
              <w:left w:val="single" w:sz="12" w:space="0" w:color="000000"/>
              <w:bottom w:val="single" w:sz="12" w:space="0" w:color="000000"/>
              <w:right w:val="single" w:sz="12" w:space="0" w:color="000000"/>
            </w:tcBorders>
          </w:tcPr>
          <w:p w:rsidR="001F7826" w:rsidRPr="00992811" w:rsidRDefault="001F7826" w:rsidP="006A671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of draft audit memos / reports issued to management within 10 working days of completion of review </w:t>
            </w:r>
          </w:p>
        </w:tc>
        <w:tc>
          <w:tcPr>
            <w:tcW w:w="2268" w:type="dxa"/>
            <w:tcBorders>
              <w:top w:val="single" w:sz="12" w:space="0" w:color="000000"/>
              <w:left w:val="single" w:sz="12" w:space="0" w:color="000000"/>
              <w:bottom w:val="single" w:sz="12" w:space="0" w:color="000000"/>
              <w:right w:val="single" w:sz="12" w:space="0" w:color="000000"/>
            </w:tcBorders>
          </w:tcPr>
          <w:p w:rsidR="001F7826" w:rsidRPr="00992811" w:rsidRDefault="001F7826">
            <w:pPr>
              <w:autoSpaceDE w:val="0"/>
              <w:autoSpaceDN w:val="0"/>
              <w:adjustRightInd w:val="0"/>
              <w:jc w:val="center"/>
              <w:rPr>
                <w:rFonts w:ascii="Arial" w:hAnsi="Arial" w:cs="Arial"/>
                <w:color w:val="000000"/>
                <w:sz w:val="24"/>
                <w:szCs w:val="24"/>
              </w:rPr>
            </w:pPr>
            <w:r>
              <w:rPr>
                <w:rFonts w:ascii="Arial" w:hAnsi="Arial" w:cs="Arial"/>
                <w:color w:val="000000"/>
                <w:sz w:val="24"/>
                <w:szCs w:val="24"/>
              </w:rPr>
              <w:t>100%</w:t>
            </w:r>
          </w:p>
        </w:tc>
      </w:tr>
      <w:tr w:rsidR="00992811" w:rsidTr="00151F29">
        <w:trPr>
          <w:trHeight w:val="1250"/>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draft audit memos / reports finalised within 10 working days of closure meeting unless extension approved by the </w:t>
            </w:r>
            <w:r w:rsidR="001F7826">
              <w:rPr>
                <w:rFonts w:ascii="Arial" w:hAnsi="Arial" w:cs="Arial"/>
                <w:color w:val="000000"/>
                <w:sz w:val="24"/>
                <w:szCs w:val="24"/>
              </w:rPr>
              <w:t>Corporate</w:t>
            </w:r>
            <w:r w:rsidRPr="00992811">
              <w:rPr>
                <w:rFonts w:ascii="Arial" w:hAnsi="Arial" w:cs="Arial"/>
                <w:color w:val="000000"/>
                <w:sz w:val="24"/>
                <w:szCs w:val="24"/>
              </w:rPr>
              <w:t xml:space="preserve"> Assurance Manager </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r>
      <w:tr w:rsidR="00992811" w:rsidTr="00151F29">
        <w:trPr>
          <w:trHeight w:val="1222"/>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individual audit system reviews completed within target days or prior approved extension by the </w:t>
            </w:r>
            <w:r w:rsidR="001F7826">
              <w:rPr>
                <w:rFonts w:ascii="Arial" w:hAnsi="Arial" w:cs="Arial"/>
                <w:color w:val="000000"/>
                <w:sz w:val="24"/>
                <w:szCs w:val="24"/>
              </w:rPr>
              <w:t>Corporate</w:t>
            </w:r>
            <w:r w:rsidRPr="00992811">
              <w:rPr>
                <w:rFonts w:ascii="Arial" w:hAnsi="Arial" w:cs="Arial"/>
                <w:color w:val="000000"/>
                <w:sz w:val="24"/>
                <w:szCs w:val="24"/>
              </w:rPr>
              <w:t xml:space="preserve"> Assurance Manager </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pPr>
              <w:autoSpaceDE w:val="0"/>
              <w:autoSpaceDN w:val="0"/>
              <w:adjustRightInd w:val="0"/>
              <w:jc w:val="center"/>
              <w:rPr>
                <w:rFonts w:ascii="Arial" w:hAnsi="Arial" w:cs="Arial"/>
                <w:color w:val="000000"/>
                <w:sz w:val="24"/>
                <w:szCs w:val="24"/>
              </w:rPr>
            </w:pPr>
            <w:r w:rsidRPr="00992811">
              <w:rPr>
                <w:rFonts w:ascii="Arial" w:hAnsi="Arial" w:cs="Arial"/>
                <w:color w:val="000000"/>
                <w:sz w:val="24"/>
                <w:szCs w:val="24"/>
              </w:rPr>
              <w:t>100%</w:t>
            </w:r>
          </w:p>
        </w:tc>
      </w:tr>
      <w:tr w:rsidR="00992811" w:rsidTr="00151F29">
        <w:trPr>
          <w:trHeight w:val="1236"/>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 of audit time spent on providing additional value to the Council as per agreed methodology  </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151F29" w:rsidP="00151F29">
            <w:pPr>
              <w:autoSpaceDE w:val="0"/>
              <w:autoSpaceDN w:val="0"/>
              <w:adjustRightInd w:val="0"/>
              <w:jc w:val="center"/>
              <w:rPr>
                <w:rFonts w:ascii="Arial" w:hAnsi="Arial" w:cs="Arial"/>
                <w:color w:val="000000"/>
                <w:sz w:val="24"/>
                <w:szCs w:val="24"/>
              </w:rPr>
            </w:pPr>
            <w:r>
              <w:rPr>
                <w:rFonts w:ascii="Arial" w:hAnsi="Arial" w:cs="Arial"/>
                <w:color w:val="000000"/>
                <w:sz w:val="24"/>
                <w:szCs w:val="24"/>
              </w:rPr>
              <w:t>25</w:t>
            </w:r>
            <w:r w:rsidR="00992811" w:rsidRPr="00992811">
              <w:rPr>
                <w:rFonts w:ascii="Arial" w:hAnsi="Arial" w:cs="Arial"/>
                <w:color w:val="000000"/>
                <w:sz w:val="24"/>
                <w:szCs w:val="24"/>
              </w:rPr>
              <w:t xml:space="preserve"> - </w:t>
            </w:r>
            <w:r>
              <w:rPr>
                <w:rFonts w:ascii="Arial" w:hAnsi="Arial" w:cs="Arial"/>
                <w:color w:val="000000"/>
                <w:sz w:val="24"/>
                <w:szCs w:val="24"/>
              </w:rPr>
              <w:t>30</w:t>
            </w:r>
            <w:r w:rsidR="00992811" w:rsidRPr="00992811">
              <w:rPr>
                <w:rFonts w:ascii="Arial" w:hAnsi="Arial" w:cs="Arial"/>
                <w:color w:val="000000"/>
                <w:sz w:val="24"/>
                <w:szCs w:val="24"/>
              </w:rPr>
              <w:t>%</w:t>
            </w:r>
          </w:p>
        </w:tc>
      </w:tr>
      <w:tr w:rsidR="00992811" w:rsidTr="00151F29">
        <w:trPr>
          <w:trHeight w:val="960"/>
        </w:trPr>
        <w:tc>
          <w:tcPr>
            <w:tcW w:w="7371" w:type="dxa"/>
            <w:tcBorders>
              <w:top w:val="single" w:sz="12" w:space="0" w:color="000000"/>
              <w:left w:val="single" w:sz="12" w:space="0" w:color="000000"/>
              <w:bottom w:val="single" w:sz="12" w:space="0" w:color="000000"/>
              <w:right w:val="single" w:sz="12" w:space="0" w:color="000000"/>
            </w:tcBorders>
            <w:hideMark/>
          </w:tcPr>
          <w:p w:rsidR="00992811" w:rsidRPr="00992811" w:rsidRDefault="00992811" w:rsidP="006A671E">
            <w:pPr>
              <w:autoSpaceDE w:val="0"/>
              <w:autoSpaceDN w:val="0"/>
              <w:adjustRightInd w:val="0"/>
              <w:rPr>
                <w:rFonts w:ascii="Arial" w:hAnsi="Arial" w:cs="Arial"/>
                <w:color w:val="000000"/>
                <w:sz w:val="24"/>
                <w:szCs w:val="24"/>
              </w:rPr>
            </w:pPr>
            <w:r w:rsidRPr="00992811">
              <w:rPr>
                <w:rFonts w:ascii="Arial" w:hAnsi="Arial" w:cs="Arial"/>
                <w:color w:val="000000"/>
                <w:sz w:val="24"/>
                <w:szCs w:val="24"/>
              </w:rPr>
              <w:t xml:space="preserve">No of working days lost per Internal Audit employee due to sickness / hospital appointments </w:t>
            </w:r>
          </w:p>
        </w:tc>
        <w:tc>
          <w:tcPr>
            <w:tcW w:w="2268" w:type="dxa"/>
            <w:tcBorders>
              <w:top w:val="single" w:sz="12" w:space="0" w:color="000000"/>
              <w:left w:val="single" w:sz="12" w:space="0" w:color="000000"/>
              <w:bottom w:val="single" w:sz="12" w:space="0" w:color="000000"/>
              <w:right w:val="single" w:sz="12" w:space="0" w:color="000000"/>
            </w:tcBorders>
            <w:hideMark/>
          </w:tcPr>
          <w:p w:rsidR="00992811" w:rsidRPr="00992811" w:rsidRDefault="00262A3F">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r>
    </w:tbl>
    <w:p w:rsidR="004266C0" w:rsidRDefault="004266C0" w:rsidP="00C17E09">
      <w:pPr>
        <w:pStyle w:val="BodyTextIndent"/>
        <w:ind w:hanging="720"/>
        <w:rPr>
          <w:rFonts w:ascii="Arial" w:hAnsi="Arial" w:cs="Arial"/>
          <w:szCs w:val="24"/>
        </w:rPr>
      </w:pPr>
    </w:p>
    <w:p w:rsidR="004266C0" w:rsidRDefault="004266C0" w:rsidP="00C17E09">
      <w:pPr>
        <w:pStyle w:val="BodyTextIndent"/>
        <w:ind w:hanging="720"/>
        <w:rPr>
          <w:rFonts w:ascii="Arial" w:hAnsi="Arial" w:cs="Arial"/>
          <w:szCs w:val="24"/>
        </w:rPr>
      </w:pPr>
    </w:p>
    <w:p w:rsidR="00003384" w:rsidRDefault="00003384" w:rsidP="00C17E09">
      <w:pPr>
        <w:pStyle w:val="BodyTextIndent"/>
        <w:ind w:hanging="720"/>
        <w:rPr>
          <w:rFonts w:ascii="Arial" w:hAnsi="Arial" w:cs="Arial"/>
          <w:szCs w:val="24"/>
        </w:rPr>
      </w:pPr>
    </w:p>
    <w:p w:rsidR="002D62F9" w:rsidRPr="00904CEA" w:rsidRDefault="002D62F9" w:rsidP="00003384">
      <w:pPr>
        <w:pStyle w:val="BodyTextIndent"/>
        <w:ind w:left="0" w:right="-270"/>
        <w:rPr>
          <w:rFonts w:ascii="Arial" w:hAnsi="Arial" w:cs="Arial"/>
          <w:szCs w:val="24"/>
          <w:u w:val="single"/>
        </w:rPr>
      </w:pPr>
      <w:r>
        <w:rPr>
          <w:rFonts w:ascii="Arial" w:hAnsi="Arial" w:cs="Arial"/>
          <w:szCs w:val="24"/>
        </w:rPr>
        <w:tab/>
      </w:r>
      <w:r w:rsidR="00003384" w:rsidRPr="00904CEA">
        <w:rPr>
          <w:rFonts w:ascii="Arial" w:hAnsi="Arial" w:cs="Arial"/>
          <w:b/>
          <w:szCs w:val="24"/>
          <w:u w:val="single"/>
        </w:rPr>
        <w:t>Quality Assurance and Improvement Programme (QAIP)</w:t>
      </w:r>
    </w:p>
    <w:p w:rsidR="002D62F9" w:rsidRDefault="002D62F9" w:rsidP="00C17E09">
      <w:pPr>
        <w:pStyle w:val="BodyTextIndent"/>
        <w:ind w:hanging="720"/>
        <w:rPr>
          <w:rFonts w:ascii="Arial" w:hAnsi="Arial" w:cs="Arial"/>
          <w:szCs w:val="24"/>
        </w:rPr>
      </w:pPr>
    </w:p>
    <w:p w:rsidR="00E038E8" w:rsidRDefault="002D62F9" w:rsidP="00C17E09">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14</w:t>
      </w:r>
      <w:r>
        <w:rPr>
          <w:rFonts w:ascii="Arial" w:hAnsi="Arial" w:cs="Arial"/>
          <w:szCs w:val="24"/>
        </w:rPr>
        <w:tab/>
      </w:r>
      <w:r w:rsidR="00922AD4">
        <w:rPr>
          <w:rFonts w:ascii="Arial" w:hAnsi="Arial" w:cs="Arial"/>
          <w:szCs w:val="24"/>
        </w:rPr>
        <w:t xml:space="preserve">In accordance with PSIAS and CIPFA’s Local Government Application Note, a QAIP </w:t>
      </w:r>
      <w:r w:rsidR="006A2EF8">
        <w:rPr>
          <w:rFonts w:ascii="Arial" w:hAnsi="Arial" w:cs="Arial"/>
          <w:szCs w:val="24"/>
        </w:rPr>
        <w:t>has been</w:t>
      </w:r>
      <w:r w:rsidR="00922AD4">
        <w:rPr>
          <w:rFonts w:ascii="Arial" w:hAnsi="Arial" w:cs="Arial"/>
          <w:szCs w:val="24"/>
        </w:rPr>
        <w:t xml:space="preserve"> developed for the Internal Audit Service</w:t>
      </w:r>
      <w:r w:rsidR="00E038E8">
        <w:rPr>
          <w:rFonts w:ascii="Arial" w:hAnsi="Arial" w:cs="Arial"/>
          <w:szCs w:val="24"/>
        </w:rPr>
        <w:t xml:space="preserve">. The purpose of the QAIP is to provide reasonable assurance to key stakeholders that </w:t>
      </w:r>
      <w:r w:rsidR="006A2EF8">
        <w:rPr>
          <w:rFonts w:ascii="Arial" w:hAnsi="Arial" w:cs="Arial"/>
          <w:szCs w:val="24"/>
        </w:rPr>
        <w:t>Internal Audit</w:t>
      </w:r>
      <w:r w:rsidR="00E038E8">
        <w:rPr>
          <w:rFonts w:ascii="Arial" w:hAnsi="Arial" w:cs="Arial"/>
          <w:szCs w:val="24"/>
        </w:rPr>
        <w:t>:</w:t>
      </w:r>
    </w:p>
    <w:p w:rsidR="00E038E8" w:rsidRDefault="00E038E8" w:rsidP="00C17E09">
      <w:pPr>
        <w:pStyle w:val="BodyTextIndent"/>
        <w:ind w:hanging="720"/>
        <w:rPr>
          <w:rFonts w:ascii="Arial" w:hAnsi="Arial" w:cs="Arial"/>
          <w:szCs w:val="24"/>
        </w:rPr>
      </w:pPr>
    </w:p>
    <w:p w:rsidR="002D62F9" w:rsidRDefault="00E038E8" w:rsidP="00637BBB">
      <w:pPr>
        <w:pStyle w:val="BodyTextIndent"/>
        <w:numPr>
          <w:ilvl w:val="0"/>
          <w:numId w:val="12"/>
        </w:numPr>
        <w:ind w:left="1560" w:hanging="420"/>
        <w:rPr>
          <w:rFonts w:ascii="Arial" w:hAnsi="Arial" w:cs="Arial"/>
          <w:szCs w:val="24"/>
        </w:rPr>
      </w:pPr>
      <w:r>
        <w:rPr>
          <w:rFonts w:ascii="Arial" w:hAnsi="Arial" w:cs="Arial"/>
          <w:szCs w:val="24"/>
        </w:rPr>
        <w:t>Performs its work in accordance with its Charter</w:t>
      </w:r>
    </w:p>
    <w:p w:rsidR="00E038E8" w:rsidRDefault="00E038E8" w:rsidP="00637BBB">
      <w:pPr>
        <w:pStyle w:val="BodyTextIndent"/>
        <w:numPr>
          <w:ilvl w:val="0"/>
          <w:numId w:val="12"/>
        </w:numPr>
        <w:ind w:left="1560" w:hanging="420"/>
        <w:rPr>
          <w:rFonts w:ascii="Arial" w:hAnsi="Arial" w:cs="Arial"/>
          <w:szCs w:val="24"/>
        </w:rPr>
      </w:pPr>
      <w:r>
        <w:rPr>
          <w:rFonts w:ascii="Arial" w:hAnsi="Arial" w:cs="Arial"/>
          <w:szCs w:val="24"/>
        </w:rPr>
        <w:t>Operates in an effective and efficient manner</w:t>
      </w:r>
    </w:p>
    <w:p w:rsidR="00E038E8" w:rsidRDefault="00E038E8" w:rsidP="001274CE">
      <w:pPr>
        <w:pStyle w:val="BodyTextIndent"/>
        <w:numPr>
          <w:ilvl w:val="0"/>
          <w:numId w:val="12"/>
        </w:numPr>
        <w:ind w:left="1560" w:hanging="420"/>
        <w:rPr>
          <w:rFonts w:ascii="Arial" w:hAnsi="Arial" w:cs="Arial"/>
          <w:szCs w:val="24"/>
        </w:rPr>
      </w:pPr>
      <w:r>
        <w:rPr>
          <w:rFonts w:ascii="Arial" w:hAnsi="Arial" w:cs="Arial"/>
          <w:szCs w:val="24"/>
        </w:rPr>
        <w:t xml:space="preserve">Is perceived as adding value and improving the service that it </w:t>
      </w:r>
      <w:r w:rsidR="001274CE">
        <w:rPr>
          <w:rFonts w:ascii="Arial" w:hAnsi="Arial" w:cs="Arial"/>
          <w:szCs w:val="24"/>
        </w:rPr>
        <w:t xml:space="preserve"> </w:t>
      </w:r>
      <w:r>
        <w:rPr>
          <w:rFonts w:ascii="Arial" w:hAnsi="Arial" w:cs="Arial"/>
          <w:szCs w:val="24"/>
        </w:rPr>
        <w:t>provides</w:t>
      </w:r>
    </w:p>
    <w:p w:rsidR="00C8138B" w:rsidRDefault="00C8138B" w:rsidP="00C8138B">
      <w:pPr>
        <w:pStyle w:val="BodyTextIndent"/>
        <w:ind w:left="1418"/>
        <w:rPr>
          <w:rFonts w:ascii="Arial" w:hAnsi="Arial" w:cs="Arial"/>
          <w:szCs w:val="24"/>
        </w:rPr>
      </w:pPr>
    </w:p>
    <w:p w:rsidR="00C8138B" w:rsidRDefault="00C8138B" w:rsidP="00C8138B">
      <w:pPr>
        <w:pStyle w:val="BodyTextIndent"/>
        <w:ind w:hanging="720"/>
        <w:rPr>
          <w:rFonts w:ascii="Arial" w:hAnsi="Arial" w:cs="Arial"/>
          <w:szCs w:val="24"/>
        </w:rPr>
      </w:pPr>
      <w:r>
        <w:rPr>
          <w:rFonts w:ascii="Arial" w:hAnsi="Arial" w:cs="Arial"/>
          <w:szCs w:val="24"/>
        </w:rPr>
        <w:t>3.</w:t>
      </w:r>
      <w:r w:rsidR="00904CEA">
        <w:rPr>
          <w:rFonts w:ascii="Arial" w:hAnsi="Arial" w:cs="Arial"/>
          <w:szCs w:val="24"/>
        </w:rPr>
        <w:t>15</w:t>
      </w:r>
      <w:r>
        <w:rPr>
          <w:rFonts w:ascii="Arial" w:hAnsi="Arial" w:cs="Arial"/>
          <w:szCs w:val="24"/>
        </w:rPr>
        <w:tab/>
        <w:t xml:space="preserve">A summary of the outcomes from this programme against its key elements is enclosed at </w:t>
      </w:r>
      <w:r w:rsidR="000A7FC3">
        <w:rPr>
          <w:rFonts w:ascii="Arial" w:hAnsi="Arial" w:cs="Arial"/>
          <w:szCs w:val="24"/>
        </w:rPr>
        <w:t>Table</w:t>
      </w:r>
      <w:r>
        <w:rPr>
          <w:rFonts w:ascii="Arial" w:hAnsi="Arial" w:cs="Arial"/>
          <w:szCs w:val="24"/>
        </w:rPr>
        <w:t xml:space="preserve"> </w:t>
      </w:r>
      <w:r w:rsidR="00F5733E">
        <w:rPr>
          <w:rFonts w:ascii="Arial" w:hAnsi="Arial" w:cs="Arial"/>
          <w:szCs w:val="24"/>
        </w:rPr>
        <w:t>5</w:t>
      </w:r>
      <w:r>
        <w:rPr>
          <w:rFonts w:ascii="Arial" w:hAnsi="Arial" w:cs="Arial"/>
          <w:szCs w:val="24"/>
        </w:rPr>
        <w:t xml:space="preserve"> with any improvements being identified and appropriate action taken to address them as they arise.</w:t>
      </w:r>
    </w:p>
    <w:p w:rsidR="00A23C83" w:rsidRDefault="00A23C83" w:rsidP="00C8138B">
      <w:pPr>
        <w:pStyle w:val="BodyTextIndent"/>
        <w:ind w:hanging="720"/>
        <w:rPr>
          <w:rFonts w:ascii="Arial" w:hAnsi="Arial" w:cs="Arial"/>
          <w:szCs w:val="24"/>
        </w:rPr>
      </w:pPr>
    </w:p>
    <w:p w:rsidR="001274CE" w:rsidRDefault="001274CE" w:rsidP="00C8138B">
      <w:pPr>
        <w:pStyle w:val="BodyTextIndent"/>
        <w:ind w:hanging="720"/>
        <w:rPr>
          <w:rFonts w:ascii="Arial" w:hAnsi="Arial" w:cs="Arial"/>
          <w:szCs w:val="24"/>
        </w:rPr>
        <w:sectPr w:rsidR="001274CE" w:rsidSect="00D640DB">
          <w:pgSz w:w="12240" w:h="15840"/>
          <w:pgMar w:top="1440" w:right="1800" w:bottom="1440" w:left="1800" w:header="720" w:footer="720" w:gutter="0"/>
          <w:cols w:space="720"/>
          <w:docGrid w:linePitch="272"/>
        </w:sectPr>
      </w:pPr>
      <w:r>
        <w:rPr>
          <w:rFonts w:ascii="Arial" w:hAnsi="Arial" w:cs="Arial"/>
          <w:szCs w:val="24"/>
        </w:rPr>
        <w:t xml:space="preserve">  </w:t>
      </w:r>
    </w:p>
    <w:p w:rsidR="00A23C83" w:rsidRPr="00F5733E" w:rsidRDefault="00CC1B99" w:rsidP="00524AD7">
      <w:pPr>
        <w:rPr>
          <w:rFonts w:ascii="Arial" w:hAnsi="Arial" w:cs="Arial"/>
          <w:b/>
          <w:sz w:val="24"/>
          <w:szCs w:val="24"/>
          <w:u w:val="single"/>
        </w:rPr>
      </w:pPr>
      <w:r w:rsidRPr="00F5733E">
        <w:rPr>
          <w:rFonts w:ascii="Arial" w:hAnsi="Arial" w:cs="Arial"/>
          <w:b/>
          <w:sz w:val="24"/>
          <w:szCs w:val="24"/>
          <w:u w:val="single"/>
        </w:rPr>
        <w:t xml:space="preserve">Table </w:t>
      </w:r>
      <w:r w:rsidR="00003384">
        <w:rPr>
          <w:rFonts w:ascii="Arial" w:hAnsi="Arial" w:cs="Arial"/>
          <w:b/>
          <w:sz w:val="24"/>
          <w:szCs w:val="24"/>
          <w:u w:val="single"/>
        </w:rPr>
        <w:t>5</w:t>
      </w:r>
      <w:r w:rsidRPr="00F5733E">
        <w:rPr>
          <w:rFonts w:ascii="Arial" w:hAnsi="Arial" w:cs="Arial"/>
          <w:b/>
          <w:sz w:val="24"/>
          <w:szCs w:val="24"/>
          <w:u w:val="single"/>
        </w:rPr>
        <w:t xml:space="preserve">: </w:t>
      </w:r>
      <w:r w:rsidR="00A23C83" w:rsidRPr="00F5733E">
        <w:rPr>
          <w:rFonts w:ascii="Arial" w:hAnsi="Arial" w:cs="Arial"/>
          <w:b/>
          <w:sz w:val="24"/>
          <w:szCs w:val="24"/>
          <w:u w:val="single"/>
        </w:rPr>
        <w:t>Quality Assurance and Improvement Programme (QAIP) – Summary of Outcomes for 20</w:t>
      </w:r>
      <w:r w:rsidR="00F5733E">
        <w:rPr>
          <w:rFonts w:ascii="Arial" w:hAnsi="Arial" w:cs="Arial"/>
          <w:b/>
          <w:sz w:val="24"/>
          <w:szCs w:val="24"/>
          <w:u w:val="single"/>
        </w:rPr>
        <w:t>20</w:t>
      </w:r>
      <w:r w:rsidR="00A23C83" w:rsidRPr="00F5733E">
        <w:rPr>
          <w:rFonts w:ascii="Arial" w:hAnsi="Arial" w:cs="Arial"/>
          <w:b/>
          <w:sz w:val="24"/>
          <w:szCs w:val="24"/>
          <w:u w:val="single"/>
        </w:rPr>
        <w:t>/20</w:t>
      </w:r>
      <w:r w:rsidR="0031097E" w:rsidRPr="00F5733E">
        <w:rPr>
          <w:rFonts w:ascii="Arial" w:hAnsi="Arial" w:cs="Arial"/>
          <w:b/>
          <w:sz w:val="24"/>
          <w:szCs w:val="24"/>
          <w:u w:val="single"/>
        </w:rPr>
        <w:t>2</w:t>
      </w:r>
      <w:r w:rsidR="00F5733E">
        <w:rPr>
          <w:rFonts w:ascii="Arial" w:hAnsi="Arial" w:cs="Arial"/>
          <w:b/>
          <w:sz w:val="24"/>
          <w:szCs w:val="24"/>
          <w:u w:val="single"/>
        </w:rPr>
        <w:t>1</w:t>
      </w:r>
    </w:p>
    <w:p w:rsidR="00A23C83" w:rsidRDefault="00A23C83" w:rsidP="00A23C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3"/>
        <w:gridCol w:w="6487"/>
      </w:tblGrid>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hideMark/>
          </w:tcPr>
          <w:p w:rsidR="00A23C83" w:rsidRPr="00580A1F" w:rsidRDefault="00A23C83" w:rsidP="00813E09">
            <w:pPr>
              <w:jc w:val="center"/>
              <w:rPr>
                <w:rFonts w:ascii="Arial" w:hAnsi="Arial" w:cs="Arial"/>
                <w:sz w:val="24"/>
                <w:szCs w:val="24"/>
              </w:rPr>
            </w:pPr>
            <w:r w:rsidRPr="00580A1F">
              <w:rPr>
                <w:rFonts w:ascii="Arial" w:hAnsi="Arial" w:cs="Arial"/>
                <w:sz w:val="24"/>
                <w:szCs w:val="24"/>
              </w:rPr>
              <w:t>Key Element of QAIP</w:t>
            </w: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A23C83" w:rsidRPr="00580A1F" w:rsidRDefault="00A23C83" w:rsidP="00813E09">
            <w:pPr>
              <w:jc w:val="center"/>
              <w:rPr>
                <w:rFonts w:ascii="Arial" w:hAnsi="Arial" w:cs="Arial"/>
                <w:sz w:val="24"/>
                <w:szCs w:val="24"/>
              </w:rPr>
            </w:pPr>
            <w:r w:rsidRPr="00580A1F">
              <w:rPr>
                <w:rFonts w:ascii="Arial" w:hAnsi="Arial" w:cs="Arial"/>
                <w:sz w:val="24"/>
                <w:szCs w:val="24"/>
              </w:rPr>
              <w:t>Outcome</w:t>
            </w:r>
          </w:p>
          <w:p w:rsidR="00A23C83" w:rsidRPr="00580A1F" w:rsidRDefault="00A23C83" w:rsidP="00813E09">
            <w:pPr>
              <w:jc w:val="cente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580A1F" w:rsidRDefault="00A23C83">
            <w:pPr>
              <w:rPr>
                <w:rFonts w:ascii="Arial" w:hAnsi="Arial" w:cs="Arial"/>
                <w:sz w:val="24"/>
                <w:szCs w:val="24"/>
                <w:u w:val="single"/>
              </w:rPr>
            </w:pPr>
            <w:r w:rsidRPr="00580A1F">
              <w:rPr>
                <w:rFonts w:ascii="Arial" w:hAnsi="Arial" w:cs="Arial"/>
                <w:sz w:val="24"/>
                <w:szCs w:val="24"/>
                <w:u w:val="single"/>
              </w:rPr>
              <w:t>Ongoing Reviews</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 xml:space="preserve">Quality reviews by the </w:t>
            </w:r>
            <w:r w:rsidR="0031097E">
              <w:rPr>
                <w:rFonts w:ascii="Arial" w:hAnsi="Arial" w:cs="Arial"/>
                <w:sz w:val="24"/>
                <w:szCs w:val="24"/>
              </w:rPr>
              <w:t>Corporate</w:t>
            </w:r>
            <w:r w:rsidRPr="00813E09">
              <w:rPr>
                <w:rFonts w:ascii="Arial" w:hAnsi="Arial" w:cs="Arial"/>
                <w:sz w:val="24"/>
                <w:szCs w:val="24"/>
              </w:rPr>
              <w:t xml:space="preserve"> Assurance Manager of completed audit assignments</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A23C83" w:rsidRPr="00813E09" w:rsidRDefault="00A23C83" w:rsidP="00003384">
            <w:pPr>
              <w:jc w:val="center"/>
              <w:rPr>
                <w:rFonts w:ascii="Arial" w:hAnsi="Arial" w:cs="Arial"/>
                <w:sz w:val="24"/>
                <w:szCs w:val="24"/>
              </w:rPr>
            </w:pPr>
            <w:r w:rsidRPr="00813E09">
              <w:rPr>
                <w:rFonts w:ascii="Arial" w:hAnsi="Arial" w:cs="Arial"/>
                <w:sz w:val="24"/>
                <w:szCs w:val="24"/>
              </w:rPr>
              <w:t xml:space="preserve">See </w:t>
            </w:r>
            <w:r w:rsidR="002674F5">
              <w:rPr>
                <w:rFonts w:ascii="Arial" w:hAnsi="Arial" w:cs="Arial"/>
                <w:sz w:val="24"/>
                <w:szCs w:val="24"/>
              </w:rPr>
              <w:t>Table</w:t>
            </w:r>
            <w:r w:rsidRPr="00813E09">
              <w:rPr>
                <w:rFonts w:ascii="Arial" w:hAnsi="Arial" w:cs="Arial"/>
                <w:sz w:val="24"/>
                <w:szCs w:val="24"/>
              </w:rPr>
              <w:t xml:space="preserve"> </w:t>
            </w:r>
            <w:r w:rsidR="00003384">
              <w:rPr>
                <w:rFonts w:ascii="Arial" w:hAnsi="Arial" w:cs="Arial"/>
                <w:sz w:val="24"/>
                <w:szCs w:val="24"/>
              </w:rPr>
              <w:t>6</w:t>
            </w: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 xml:space="preserve">Feedback from </w:t>
            </w:r>
            <w:r w:rsidR="0031097E">
              <w:rPr>
                <w:rFonts w:ascii="Arial" w:hAnsi="Arial" w:cs="Arial"/>
                <w:sz w:val="24"/>
                <w:szCs w:val="24"/>
              </w:rPr>
              <w:t>Heads of Service and Strategic Directors</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F5733E" w:rsidRDefault="00A23C83" w:rsidP="00F5733E">
            <w:pPr>
              <w:rPr>
                <w:rFonts w:ascii="Arial" w:hAnsi="Arial" w:cs="Arial"/>
                <w:sz w:val="24"/>
                <w:szCs w:val="24"/>
              </w:rPr>
            </w:pPr>
            <w:r w:rsidRPr="00813E09">
              <w:rPr>
                <w:rFonts w:ascii="Arial" w:hAnsi="Arial" w:cs="Arial"/>
                <w:sz w:val="24"/>
                <w:szCs w:val="24"/>
              </w:rPr>
              <w:t xml:space="preserve">Quarterly meetings being held </w:t>
            </w:r>
            <w:r w:rsidR="00F5733E">
              <w:rPr>
                <w:rFonts w:ascii="Arial" w:hAnsi="Arial" w:cs="Arial"/>
                <w:sz w:val="24"/>
                <w:szCs w:val="24"/>
              </w:rPr>
              <w:t>– positive feedback received about the revised audit methodology, particularly in respect of flexible planning and more focus upon real time assurance</w:t>
            </w:r>
          </w:p>
          <w:p w:rsidR="00A23C83" w:rsidRPr="00813E09" w:rsidRDefault="00F5733E" w:rsidP="00F5733E">
            <w:pPr>
              <w:rPr>
                <w:rFonts w:ascii="Arial" w:hAnsi="Arial" w:cs="Arial"/>
                <w:sz w:val="24"/>
                <w:szCs w:val="24"/>
              </w:rPr>
            </w:pPr>
            <w:r>
              <w:rPr>
                <w:rFonts w:ascii="Arial" w:hAnsi="Arial" w:cs="Arial"/>
                <w:sz w:val="24"/>
                <w:szCs w:val="24"/>
              </w:rPr>
              <w:t xml:space="preserve"> </w:t>
            </w:r>
            <w:r w:rsidR="0031097E">
              <w:rPr>
                <w:rFonts w:ascii="Arial" w:hAnsi="Arial" w:cs="Arial"/>
                <w:sz w:val="24"/>
                <w:szCs w:val="24"/>
              </w:rPr>
              <w:t xml:space="preserve"> </w:t>
            </w: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Internal Audit performance indicator out turns</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A23C83" w:rsidRPr="00813E09" w:rsidRDefault="00A23C83" w:rsidP="00003384">
            <w:pPr>
              <w:jc w:val="center"/>
              <w:rPr>
                <w:rFonts w:ascii="Arial" w:hAnsi="Arial" w:cs="Arial"/>
                <w:sz w:val="24"/>
                <w:szCs w:val="24"/>
              </w:rPr>
            </w:pPr>
            <w:r w:rsidRPr="00813E09">
              <w:rPr>
                <w:rFonts w:ascii="Arial" w:hAnsi="Arial" w:cs="Arial"/>
                <w:sz w:val="24"/>
                <w:szCs w:val="24"/>
              </w:rPr>
              <w:t xml:space="preserve">See </w:t>
            </w:r>
            <w:r w:rsidR="002674F5">
              <w:rPr>
                <w:rFonts w:ascii="Arial" w:hAnsi="Arial" w:cs="Arial"/>
                <w:sz w:val="24"/>
                <w:szCs w:val="24"/>
              </w:rPr>
              <w:t>Table</w:t>
            </w:r>
            <w:r w:rsidRPr="00813E09">
              <w:rPr>
                <w:rFonts w:ascii="Arial" w:hAnsi="Arial" w:cs="Arial"/>
                <w:sz w:val="24"/>
                <w:szCs w:val="24"/>
              </w:rPr>
              <w:t xml:space="preserve"> </w:t>
            </w:r>
            <w:r w:rsidR="00003384">
              <w:rPr>
                <w:rFonts w:ascii="Arial" w:hAnsi="Arial" w:cs="Arial"/>
                <w:sz w:val="24"/>
                <w:szCs w:val="24"/>
              </w:rPr>
              <w:t>3</w:t>
            </w: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580A1F" w:rsidRDefault="00A23C83">
            <w:pPr>
              <w:rPr>
                <w:rFonts w:ascii="Arial" w:hAnsi="Arial" w:cs="Arial"/>
                <w:sz w:val="24"/>
                <w:szCs w:val="24"/>
              </w:rPr>
            </w:pPr>
            <w:r w:rsidRPr="00580A1F">
              <w:rPr>
                <w:rFonts w:ascii="Arial" w:hAnsi="Arial" w:cs="Arial"/>
                <w:sz w:val="24"/>
                <w:szCs w:val="24"/>
                <w:u w:val="single"/>
              </w:rPr>
              <w:t>Periodic Reviews</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rsidP="0019059C">
            <w:pPr>
              <w:rPr>
                <w:rFonts w:ascii="Arial" w:hAnsi="Arial" w:cs="Arial"/>
                <w:sz w:val="24"/>
                <w:szCs w:val="24"/>
              </w:rPr>
            </w:pPr>
            <w:r w:rsidRPr="00813E09">
              <w:rPr>
                <w:rFonts w:ascii="Arial" w:hAnsi="Arial" w:cs="Arial"/>
                <w:sz w:val="24"/>
                <w:szCs w:val="24"/>
              </w:rPr>
              <w:t>Annual assessment of Internal Audit’s conformance with its Charter, Public Sector Internal Auditing Standards and CIPFA’s Local Government Application Note</w:t>
            </w:r>
            <w:r w:rsidR="00146484">
              <w:rPr>
                <w:rFonts w:ascii="Arial" w:hAnsi="Arial" w:cs="Arial"/>
                <w:sz w:val="24"/>
                <w:szCs w:val="24"/>
              </w:rPr>
              <w:t xml:space="preserve"> (2019)</w:t>
            </w: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877807" w:rsidRDefault="00A23C83">
            <w:pPr>
              <w:rPr>
                <w:rFonts w:ascii="Arial" w:hAnsi="Arial" w:cs="Arial"/>
                <w:sz w:val="24"/>
                <w:szCs w:val="24"/>
              </w:rPr>
            </w:pPr>
            <w:r w:rsidRPr="00813E09">
              <w:rPr>
                <w:rFonts w:ascii="Arial" w:hAnsi="Arial" w:cs="Arial"/>
                <w:sz w:val="24"/>
                <w:szCs w:val="24"/>
              </w:rPr>
              <w:t>Full assessment carried out</w:t>
            </w:r>
            <w:r w:rsidR="00003384">
              <w:rPr>
                <w:rFonts w:ascii="Arial" w:hAnsi="Arial" w:cs="Arial"/>
                <w:sz w:val="24"/>
                <w:szCs w:val="24"/>
              </w:rPr>
              <w:t>, with the only area of</w:t>
            </w:r>
            <w:r w:rsidRPr="00813E09">
              <w:rPr>
                <w:rFonts w:ascii="Arial" w:hAnsi="Arial" w:cs="Arial"/>
                <w:sz w:val="24"/>
                <w:szCs w:val="24"/>
              </w:rPr>
              <w:t xml:space="preserve"> non-conformance </w:t>
            </w:r>
            <w:r w:rsidR="00003384">
              <w:rPr>
                <w:rFonts w:ascii="Arial" w:hAnsi="Arial" w:cs="Arial"/>
                <w:sz w:val="24"/>
                <w:szCs w:val="24"/>
              </w:rPr>
              <w:t>being in respect of shortfall in resource due to not filling the Trainee Auditor post. However, this has not adversely affected service delivery during 2020/2021</w:t>
            </w:r>
          </w:p>
          <w:p w:rsidR="00877807" w:rsidRDefault="00877807">
            <w:pPr>
              <w:rPr>
                <w:rFonts w:ascii="Arial" w:hAnsi="Arial" w:cs="Arial"/>
                <w:sz w:val="24"/>
                <w:szCs w:val="24"/>
              </w:rPr>
            </w:pPr>
          </w:p>
          <w:p w:rsidR="00877807" w:rsidRPr="00813E09" w:rsidRDefault="00877807">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 xml:space="preserve">Production of a risk </w:t>
            </w:r>
            <w:r w:rsidR="00146484">
              <w:rPr>
                <w:rFonts w:ascii="Arial" w:hAnsi="Arial" w:cs="Arial"/>
                <w:sz w:val="24"/>
                <w:szCs w:val="24"/>
              </w:rPr>
              <w:t>based</w:t>
            </w:r>
            <w:r w:rsidRPr="00813E09">
              <w:rPr>
                <w:rFonts w:ascii="Arial" w:hAnsi="Arial" w:cs="Arial"/>
                <w:sz w:val="24"/>
                <w:szCs w:val="24"/>
              </w:rPr>
              <w:t xml:space="preserve"> Audit Plan</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0B05E1" w:rsidRDefault="00003384" w:rsidP="000B05E1">
            <w:pPr>
              <w:rPr>
                <w:rFonts w:ascii="Arial" w:hAnsi="Arial" w:cs="Arial"/>
                <w:sz w:val="24"/>
                <w:szCs w:val="24"/>
              </w:rPr>
            </w:pPr>
            <w:r>
              <w:rPr>
                <w:rFonts w:ascii="Arial" w:hAnsi="Arial" w:cs="Arial"/>
                <w:sz w:val="24"/>
                <w:szCs w:val="24"/>
              </w:rPr>
              <w:t>Quarterly</w:t>
            </w:r>
            <w:r w:rsidR="000B05E1">
              <w:rPr>
                <w:rFonts w:ascii="Arial" w:hAnsi="Arial" w:cs="Arial"/>
                <w:sz w:val="24"/>
                <w:szCs w:val="24"/>
              </w:rPr>
              <w:t xml:space="preserve"> risk based </w:t>
            </w:r>
            <w:r>
              <w:rPr>
                <w:rFonts w:ascii="Arial" w:hAnsi="Arial" w:cs="Arial"/>
                <w:sz w:val="24"/>
                <w:szCs w:val="24"/>
              </w:rPr>
              <w:t xml:space="preserve">Audit </w:t>
            </w:r>
            <w:r w:rsidR="000B05E1">
              <w:rPr>
                <w:rFonts w:ascii="Arial" w:hAnsi="Arial" w:cs="Arial"/>
                <w:sz w:val="24"/>
                <w:szCs w:val="24"/>
              </w:rPr>
              <w:t>Plan</w:t>
            </w:r>
            <w:r>
              <w:rPr>
                <w:rFonts w:ascii="Arial" w:hAnsi="Arial" w:cs="Arial"/>
                <w:sz w:val="24"/>
                <w:szCs w:val="24"/>
              </w:rPr>
              <w:t>s</w:t>
            </w:r>
            <w:r w:rsidR="000B05E1">
              <w:rPr>
                <w:rFonts w:ascii="Arial" w:hAnsi="Arial" w:cs="Arial"/>
                <w:sz w:val="24"/>
                <w:szCs w:val="24"/>
              </w:rPr>
              <w:t xml:space="preserve"> </w:t>
            </w:r>
            <w:r>
              <w:rPr>
                <w:rFonts w:ascii="Arial" w:hAnsi="Arial" w:cs="Arial"/>
                <w:sz w:val="24"/>
                <w:szCs w:val="24"/>
              </w:rPr>
              <w:t>were</w:t>
            </w:r>
            <w:r w:rsidR="000B05E1">
              <w:rPr>
                <w:rFonts w:ascii="Arial" w:hAnsi="Arial" w:cs="Arial"/>
                <w:sz w:val="24"/>
                <w:szCs w:val="24"/>
              </w:rPr>
              <w:t xml:space="preserve"> prepared </w:t>
            </w:r>
            <w:r>
              <w:rPr>
                <w:rFonts w:ascii="Arial" w:hAnsi="Arial" w:cs="Arial"/>
                <w:sz w:val="24"/>
                <w:szCs w:val="24"/>
              </w:rPr>
              <w:t>and</w:t>
            </w:r>
            <w:r w:rsidR="000B05E1">
              <w:rPr>
                <w:rFonts w:ascii="Arial" w:hAnsi="Arial" w:cs="Arial"/>
                <w:sz w:val="24"/>
                <w:szCs w:val="24"/>
              </w:rPr>
              <w:t xml:space="preserve"> approv</w:t>
            </w:r>
            <w:r>
              <w:rPr>
                <w:rFonts w:ascii="Arial" w:hAnsi="Arial" w:cs="Arial"/>
                <w:sz w:val="24"/>
                <w:szCs w:val="24"/>
              </w:rPr>
              <w:t>ed</w:t>
            </w:r>
            <w:r w:rsidR="000B05E1">
              <w:rPr>
                <w:rFonts w:ascii="Arial" w:hAnsi="Arial" w:cs="Arial"/>
                <w:sz w:val="24"/>
                <w:szCs w:val="24"/>
              </w:rPr>
              <w:t xml:space="preserve"> by the Governance &amp; </w:t>
            </w:r>
            <w:r>
              <w:rPr>
                <w:rFonts w:ascii="Arial" w:hAnsi="Arial" w:cs="Arial"/>
                <w:sz w:val="24"/>
                <w:szCs w:val="24"/>
              </w:rPr>
              <w:t>Standards</w:t>
            </w:r>
            <w:r w:rsidR="000B05E1">
              <w:rPr>
                <w:rFonts w:ascii="Arial" w:hAnsi="Arial" w:cs="Arial"/>
                <w:sz w:val="24"/>
                <w:szCs w:val="24"/>
              </w:rPr>
              <w:t xml:space="preserve"> Committee </w:t>
            </w:r>
            <w:r>
              <w:rPr>
                <w:rFonts w:ascii="Arial" w:hAnsi="Arial" w:cs="Arial"/>
                <w:sz w:val="24"/>
                <w:szCs w:val="24"/>
              </w:rPr>
              <w:t>during 2020/2021</w:t>
            </w:r>
          </w:p>
          <w:p w:rsidR="00A23C83" w:rsidRPr="00813E09" w:rsidRDefault="000B05E1" w:rsidP="000B05E1">
            <w:pPr>
              <w:rPr>
                <w:rFonts w:ascii="Arial" w:hAnsi="Arial" w:cs="Arial"/>
                <w:sz w:val="24"/>
                <w:szCs w:val="24"/>
              </w:rPr>
            </w:pPr>
            <w:r>
              <w:rPr>
                <w:rFonts w:ascii="Arial" w:hAnsi="Arial" w:cs="Arial"/>
                <w:sz w:val="24"/>
                <w:szCs w:val="24"/>
              </w:rPr>
              <w:t xml:space="preserve">    </w:t>
            </w: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 xml:space="preserve">Benchmarking </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F314E5" w:rsidRDefault="00F314E5" w:rsidP="003025C5">
            <w:pPr>
              <w:rPr>
                <w:rFonts w:ascii="Arial" w:hAnsi="Arial" w:cs="Arial"/>
                <w:sz w:val="24"/>
                <w:szCs w:val="24"/>
              </w:rPr>
            </w:pPr>
            <w:r>
              <w:rPr>
                <w:rFonts w:ascii="Arial" w:hAnsi="Arial" w:cs="Arial"/>
                <w:sz w:val="24"/>
                <w:szCs w:val="24"/>
              </w:rPr>
              <w:t>A benchmarking exercise was undertaken as part of the transformational service review of Internal Audit undertaken during 2019/2020.</w:t>
            </w:r>
          </w:p>
          <w:p w:rsidR="00F314E5" w:rsidRDefault="00F314E5" w:rsidP="003025C5">
            <w:pPr>
              <w:rPr>
                <w:rFonts w:ascii="Arial" w:hAnsi="Arial" w:cs="Arial"/>
                <w:sz w:val="24"/>
                <w:szCs w:val="24"/>
              </w:rPr>
            </w:pPr>
          </w:p>
          <w:p w:rsidR="00F314E5" w:rsidRDefault="00F314E5" w:rsidP="003025C5">
            <w:pPr>
              <w:rPr>
                <w:rFonts w:ascii="Arial" w:hAnsi="Arial" w:cs="Arial"/>
                <w:sz w:val="24"/>
                <w:szCs w:val="24"/>
              </w:rPr>
            </w:pPr>
            <w:r>
              <w:rPr>
                <w:rFonts w:ascii="Arial" w:hAnsi="Arial" w:cs="Arial"/>
                <w:sz w:val="24"/>
                <w:szCs w:val="24"/>
              </w:rPr>
              <w:t>The findings have informed the approved changes to the structure of Internal Audit.</w:t>
            </w:r>
          </w:p>
          <w:p w:rsidR="00F314E5" w:rsidRDefault="00F314E5" w:rsidP="003025C5">
            <w:pPr>
              <w:rPr>
                <w:rFonts w:ascii="Arial" w:hAnsi="Arial" w:cs="Arial"/>
                <w:sz w:val="24"/>
                <w:szCs w:val="24"/>
              </w:rPr>
            </w:pPr>
          </w:p>
          <w:p w:rsidR="00A23C83" w:rsidRDefault="00A23C83" w:rsidP="003025C5">
            <w:pPr>
              <w:rPr>
                <w:rFonts w:ascii="Arial" w:hAnsi="Arial" w:cs="Arial"/>
                <w:sz w:val="24"/>
                <w:szCs w:val="24"/>
              </w:rPr>
            </w:pPr>
            <w:r w:rsidRPr="00813E09">
              <w:rPr>
                <w:rFonts w:ascii="Arial" w:hAnsi="Arial" w:cs="Arial"/>
                <w:sz w:val="24"/>
                <w:szCs w:val="24"/>
              </w:rPr>
              <w:t xml:space="preserve">Qualitative benchmarking </w:t>
            </w:r>
            <w:r w:rsidR="00F314E5">
              <w:rPr>
                <w:rFonts w:ascii="Arial" w:hAnsi="Arial" w:cs="Arial"/>
                <w:sz w:val="24"/>
                <w:szCs w:val="24"/>
              </w:rPr>
              <w:t xml:space="preserve">is also </w:t>
            </w:r>
            <w:r w:rsidRPr="00813E09">
              <w:rPr>
                <w:rFonts w:ascii="Arial" w:hAnsi="Arial" w:cs="Arial"/>
                <w:sz w:val="24"/>
                <w:szCs w:val="24"/>
              </w:rPr>
              <w:t>carried out through the Nottinghamshire and Derbyshire Audit Group</w:t>
            </w:r>
            <w:r w:rsidR="00003384">
              <w:rPr>
                <w:rFonts w:ascii="Arial" w:hAnsi="Arial" w:cs="Arial"/>
                <w:sz w:val="24"/>
                <w:szCs w:val="24"/>
              </w:rPr>
              <w:t>, Midlands Audit Group and Institute of Internal Auditors</w:t>
            </w:r>
          </w:p>
          <w:p w:rsidR="003025C5" w:rsidRPr="00813E09" w:rsidRDefault="003025C5" w:rsidP="003025C5">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A23C83">
            <w:pPr>
              <w:rPr>
                <w:rFonts w:ascii="Arial" w:hAnsi="Arial" w:cs="Arial"/>
                <w:sz w:val="24"/>
                <w:szCs w:val="24"/>
              </w:rPr>
            </w:pPr>
            <w:r w:rsidRPr="00813E09">
              <w:rPr>
                <w:rFonts w:ascii="Arial" w:hAnsi="Arial" w:cs="Arial"/>
                <w:sz w:val="24"/>
                <w:szCs w:val="24"/>
              </w:rPr>
              <w:t xml:space="preserve">Reports to the </w:t>
            </w:r>
            <w:r w:rsidR="0031097E">
              <w:rPr>
                <w:rFonts w:ascii="Arial" w:hAnsi="Arial" w:cs="Arial"/>
                <w:sz w:val="24"/>
                <w:szCs w:val="24"/>
              </w:rPr>
              <w:t xml:space="preserve">Governance &amp; </w:t>
            </w:r>
            <w:r w:rsidR="00003384">
              <w:rPr>
                <w:rFonts w:ascii="Arial" w:hAnsi="Arial" w:cs="Arial"/>
                <w:sz w:val="24"/>
                <w:szCs w:val="24"/>
              </w:rPr>
              <w:t>Standards</w:t>
            </w:r>
            <w:r w:rsidRPr="00813E09">
              <w:rPr>
                <w:rFonts w:ascii="Arial" w:hAnsi="Arial" w:cs="Arial"/>
                <w:sz w:val="24"/>
                <w:szCs w:val="24"/>
              </w:rPr>
              <w:t xml:space="preserve"> Committee on delivery of the Audit Plan</w:t>
            </w:r>
          </w:p>
          <w:p w:rsidR="00A23C83" w:rsidRPr="00813E09" w:rsidRDefault="00A23C83">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A23C83" w:rsidRDefault="00003384">
            <w:pPr>
              <w:rPr>
                <w:rFonts w:ascii="Arial" w:hAnsi="Arial" w:cs="Arial"/>
                <w:sz w:val="24"/>
                <w:szCs w:val="24"/>
              </w:rPr>
            </w:pPr>
            <w:r>
              <w:rPr>
                <w:rFonts w:ascii="Arial" w:hAnsi="Arial" w:cs="Arial"/>
                <w:sz w:val="24"/>
                <w:szCs w:val="24"/>
              </w:rPr>
              <w:t>P</w:t>
            </w:r>
            <w:r w:rsidR="00A23C83" w:rsidRPr="00813E09">
              <w:rPr>
                <w:rFonts w:ascii="Arial" w:hAnsi="Arial" w:cs="Arial"/>
                <w:sz w:val="24"/>
                <w:szCs w:val="24"/>
              </w:rPr>
              <w:t xml:space="preserve">rogress reports have been presented to the </w:t>
            </w:r>
            <w:r w:rsidR="002574EE">
              <w:rPr>
                <w:rFonts w:ascii="Arial" w:hAnsi="Arial" w:cs="Arial"/>
                <w:sz w:val="24"/>
                <w:szCs w:val="24"/>
              </w:rPr>
              <w:t xml:space="preserve">Governance &amp; </w:t>
            </w:r>
            <w:r>
              <w:rPr>
                <w:rFonts w:ascii="Arial" w:hAnsi="Arial" w:cs="Arial"/>
                <w:sz w:val="24"/>
                <w:szCs w:val="24"/>
              </w:rPr>
              <w:t>Standards</w:t>
            </w:r>
            <w:r w:rsidR="00A23C83" w:rsidRPr="00813E09">
              <w:rPr>
                <w:rFonts w:ascii="Arial" w:hAnsi="Arial" w:cs="Arial"/>
                <w:sz w:val="24"/>
                <w:szCs w:val="24"/>
              </w:rPr>
              <w:t xml:space="preserve"> Committee during 20</w:t>
            </w:r>
            <w:r>
              <w:rPr>
                <w:rFonts w:ascii="Arial" w:hAnsi="Arial" w:cs="Arial"/>
                <w:sz w:val="24"/>
                <w:szCs w:val="24"/>
              </w:rPr>
              <w:t>20</w:t>
            </w:r>
            <w:r w:rsidR="00A23C83" w:rsidRPr="00813E09">
              <w:rPr>
                <w:rFonts w:ascii="Arial" w:hAnsi="Arial" w:cs="Arial"/>
                <w:sz w:val="24"/>
                <w:szCs w:val="24"/>
              </w:rPr>
              <w:t>/20</w:t>
            </w:r>
            <w:r w:rsidR="002574EE">
              <w:rPr>
                <w:rFonts w:ascii="Arial" w:hAnsi="Arial" w:cs="Arial"/>
                <w:sz w:val="24"/>
                <w:szCs w:val="24"/>
              </w:rPr>
              <w:t>2</w:t>
            </w:r>
            <w:r>
              <w:rPr>
                <w:rFonts w:ascii="Arial" w:hAnsi="Arial" w:cs="Arial"/>
                <w:sz w:val="24"/>
                <w:szCs w:val="24"/>
              </w:rPr>
              <w:t>1</w:t>
            </w:r>
          </w:p>
          <w:p w:rsidR="00F314E5" w:rsidRDefault="00F314E5">
            <w:pPr>
              <w:rPr>
                <w:rFonts w:ascii="Arial" w:hAnsi="Arial" w:cs="Arial"/>
                <w:sz w:val="24"/>
                <w:szCs w:val="24"/>
              </w:rPr>
            </w:pPr>
          </w:p>
          <w:p w:rsidR="00F314E5" w:rsidRPr="00813E09" w:rsidRDefault="00F314E5">
            <w:pPr>
              <w:rPr>
                <w:rFonts w:ascii="Arial" w:hAnsi="Arial" w:cs="Arial"/>
                <w:sz w:val="24"/>
                <w:szCs w:val="24"/>
              </w:rPr>
            </w:pPr>
          </w:p>
          <w:p w:rsidR="00A23C83" w:rsidRPr="00813E09" w:rsidRDefault="00A23C83">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hideMark/>
          </w:tcPr>
          <w:p w:rsidR="00A23C83" w:rsidRPr="00813E09" w:rsidRDefault="00A23C83">
            <w:pPr>
              <w:rPr>
                <w:rFonts w:ascii="Arial" w:hAnsi="Arial" w:cs="Arial"/>
                <w:sz w:val="24"/>
                <w:szCs w:val="24"/>
              </w:rPr>
            </w:pPr>
            <w:r w:rsidRPr="00813E09">
              <w:rPr>
                <w:rFonts w:ascii="Arial" w:hAnsi="Arial" w:cs="Arial"/>
                <w:sz w:val="24"/>
                <w:szCs w:val="24"/>
              </w:rPr>
              <w:t>Annual assessment of compliance with CIPFA’s Statement on the “Role of the Head of Internal Audit</w:t>
            </w:r>
            <w:r w:rsidR="003025C5">
              <w:rPr>
                <w:rFonts w:ascii="Arial" w:hAnsi="Arial" w:cs="Arial"/>
                <w:sz w:val="24"/>
                <w:szCs w:val="24"/>
              </w:rPr>
              <w:t xml:space="preserve"> in Public Service Organisations (2019)</w:t>
            </w:r>
            <w:r w:rsidRPr="00813E09">
              <w:rPr>
                <w:rFonts w:ascii="Arial" w:hAnsi="Arial" w:cs="Arial"/>
                <w:sz w:val="24"/>
                <w:szCs w:val="24"/>
              </w:rPr>
              <w:t>”</w:t>
            </w:r>
          </w:p>
          <w:p w:rsidR="00A23C83" w:rsidRPr="00813E09" w:rsidRDefault="00A23C83">
            <w:pPr>
              <w:rPr>
                <w:rFonts w:ascii="Arial" w:hAnsi="Arial" w:cs="Arial"/>
                <w:sz w:val="24"/>
                <w:szCs w:val="24"/>
              </w:rPr>
            </w:pPr>
            <w:r w:rsidRPr="00813E09">
              <w:rPr>
                <w:rFonts w:ascii="Arial" w:hAnsi="Arial" w:cs="Arial"/>
                <w:sz w:val="24"/>
                <w:szCs w:val="24"/>
              </w:rPr>
              <w:t xml:space="preserve"> </w:t>
            </w: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A23C83" w:rsidRPr="00813E09" w:rsidRDefault="00003384">
            <w:pPr>
              <w:rPr>
                <w:rFonts w:ascii="Arial" w:hAnsi="Arial" w:cs="Arial"/>
                <w:sz w:val="24"/>
                <w:szCs w:val="24"/>
              </w:rPr>
            </w:pPr>
            <w:r>
              <w:rPr>
                <w:rFonts w:ascii="Arial" w:hAnsi="Arial" w:cs="Arial"/>
                <w:sz w:val="24"/>
                <w:szCs w:val="24"/>
              </w:rPr>
              <w:t>A</w:t>
            </w:r>
            <w:r w:rsidR="00A23C83" w:rsidRPr="00813E09">
              <w:rPr>
                <w:rFonts w:ascii="Arial" w:hAnsi="Arial" w:cs="Arial"/>
                <w:sz w:val="24"/>
                <w:szCs w:val="24"/>
              </w:rPr>
              <w:t xml:space="preserve">ssessment </w:t>
            </w:r>
            <w:r>
              <w:rPr>
                <w:rFonts w:ascii="Arial" w:hAnsi="Arial" w:cs="Arial"/>
                <w:sz w:val="24"/>
                <w:szCs w:val="24"/>
              </w:rPr>
              <w:t>completed during 2020/2021 to inform the AGS – No areas of non-compliance were identified</w:t>
            </w:r>
          </w:p>
          <w:p w:rsidR="00A23C83" w:rsidRPr="00813E09" w:rsidRDefault="00A23C83">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767FCA" w:rsidRDefault="00767FCA" w:rsidP="00767FCA">
            <w:pPr>
              <w:rPr>
                <w:rFonts w:ascii="Arial" w:hAnsi="Arial" w:cs="Arial"/>
                <w:sz w:val="24"/>
                <w:szCs w:val="24"/>
              </w:rPr>
            </w:pPr>
            <w:r>
              <w:rPr>
                <w:rFonts w:ascii="Arial" w:hAnsi="Arial" w:cs="Arial"/>
                <w:sz w:val="24"/>
                <w:szCs w:val="24"/>
                <w:u w:val="single"/>
              </w:rPr>
              <w:t>External Assessment</w:t>
            </w:r>
          </w:p>
          <w:p w:rsidR="00767FCA" w:rsidRPr="00767FCA" w:rsidRDefault="00767FCA" w:rsidP="00767FCA">
            <w:pPr>
              <w:rPr>
                <w:rFonts w:ascii="Arial" w:hAnsi="Arial" w:cs="Arial"/>
                <w:sz w:val="24"/>
                <w:szCs w:val="24"/>
              </w:rPr>
            </w:pP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767FCA" w:rsidRPr="00813E09" w:rsidRDefault="00767FCA">
            <w:pPr>
              <w:rPr>
                <w:rFonts w:ascii="Arial" w:hAnsi="Arial" w:cs="Arial"/>
                <w:sz w:val="24"/>
                <w:szCs w:val="24"/>
              </w:rPr>
            </w:pPr>
          </w:p>
        </w:tc>
      </w:tr>
      <w:tr w:rsidR="0096062C" w:rsidTr="003025C5">
        <w:tc>
          <w:tcPr>
            <w:tcW w:w="6463" w:type="dxa"/>
            <w:tcBorders>
              <w:top w:val="single" w:sz="4" w:space="0" w:color="auto"/>
              <w:left w:val="single" w:sz="4" w:space="0" w:color="auto"/>
              <w:bottom w:val="single" w:sz="4" w:space="0" w:color="auto"/>
              <w:right w:val="single" w:sz="4" w:space="0" w:color="auto"/>
            </w:tcBorders>
            <w:shd w:val="clear" w:color="auto" w:fill="auto"/>
          </w:tcPr>
          <w:p w:rsidR="00767FCA" w:rsidRPr="00767FCA" w:rsidRDefault="00767FCA" w:rsidP="00767FCA">
            <w:pPr>
              <w:rPr>
                <w:rFonts w:ascii="Arial" w:hAnsi="Arial" w:cs="Arial"/>
                <w:sz w:val="24"/>
                <w:szCs w:val="24"/>
              </w:rPr>
            </w:pPr>
            <w:r w:rsidRPr="00767FCA">
              <w:rPr>
                <w:rFonts w:ascii="Arial" w:hAnsi="Arial" w:cs="Arial"/>
                <w:sz w:val="24"/>
                <w:szCs w:val="24"/>
              </w:rPr>
              <w:t>External Quality Assessment</w:t>
            </w:r>
          </w:p>
        </w:tc>
        <w:tc>
          <w:tcPr>
            <w:tcW w:w="6487" w:type="dxa"/>
            <w:tcBorders>
              <w:top w:val="single" w:sz="4" w:space="0" w:color="auto"/>
              <w:left w:val="single" w:sz="4" w:space="0" w:color="auto"/>
              <w:bottom w:val="single" w:sz="4" w:space="0" w:color="auto"/>
              <w:right w:val="single" w:sz="4" w:space="0" w:color="auto"/>
            </w:tcBorders>
            <w:shd w:val="clear" w:color="auto" w:fill="auto"/>
          </w:tcPr>
          <w:p w:rsidR="00767FCA" w:rsidRDefault="003025C5">
            <w:pPr>
              <w:rPr>
                <w:rFonts w:ascii="Arial" w:hAnsi="Arial" w:cs="Arial"/>
                <w:sz w:val="24"/>
                <w:szCs w:val="24"/>
              </w:rPr>
            </w:pPr>
            <w:r>
              <w:rPr>
                <w:rFonts w:ascii="Arial" w:hAnsi="Arial" w:cs="Arial"/>
                <w:sz w:val="24"/>
                <w:szCs w:val="24"/>
              </w:rPr>
              <w:t>Completed during 2018 – Next review scheduled for 2023</w:t>
            </w:r>
          </w:p>
          <w:p w:rsidR="00767FCA" w:rsidRPr="00813E09" w:rsidRDefault="00767FCA">
            <w:pPr>
              <w:rPr>
                <w:rFonts w:ascii="Arial" w:hAnsi="Arial" w:cs="Arial"/>
                <w:sz w:val="24"/>
                <w:szCs w:val="24"/>
              </w:rPr>
            </w:pPr>
          </w:p>
        </w:tc>
      </w:tr>
    </w:tbl>
    <w:p w:rsidR="00C8138B" w:rsidRDefault="00C8138B" w:rsidP="00C8138B">
      <w:pPr>
        <w:pStyle w:val="BodyTextIndent"/>
        <w:ind w:hanging="720"/>
        <w:rPr>
          <w:rFonts w:ascii="Arial" w:hAnsi="Arial" w:cs="Arial"/>
          <w:szCs w:val="24"/>
        </w:rPr>
      </w:pPr>
    </w:p>
    <w:p w:rsidR="00A23C83" w:rsidRDefault="00A23C83" w:rsidP="00C8138B">
      <w:pPr>
        <w:pStyle w:val="BodyTextIndent"/>
        <w:ind w:hanging="720"/>
        <w:rPr>
          <w:rFonts w:ascii="Arial" w:hAnsi="Arial" w:cs="Arial"/>
          <w:szCs w:val="24"/>
        </w:rPr>
      </w:pPr>
    </w:p>
    <w:p w:rsidR="00524AD7" w:rsidRDefault="00524AD7" w:rsidP="00C8138B">
      <w:pPr>
        <w:pStyle w:val="BodyTextIndent"/>
        <w:ind w:hanging="720"/>
        <w:rPr>
          <w:rFonts w:ascii="Arial" w:hAnsi="Arial" w:cs="Arial"/>
          <w:szCs w:val="24"/>
        </w:rPr>
        <w:sectPr w:rsidR="00524AD7" w:rsidSect="00A23C83">
          <w:pgSz w:w="15840" w:h="12240" w:orient="landscape"/>
          <w:pgMar w:top="1800" w:right="1440" w:bottom="1800" w:left="1440" w:header="720" w:footer="720" w:gutter="0"/>
          <w:cols w:space="720"/>
          <w:docGrid w:linePitch="272"/>
        </w:sectPr>
      </w:pPr>
    </w:p>
    <w:p w:rsidR="00F069A0" w:rsidRPr="00210C51" w:rsidRDefault="00F069A0" w:rsidP="00F069A0">
      <w:pPr>
        <w:rPr>
          <w:rFonts w:ascii="Arial" w:hAnsi="Arial" w:cs="Arial"/>
          <w:b/>
          <w:sz w:val="24"/>
          <w:szCs w:val="24"/>
          <w:u w:val="single"/>
        </w:rPr>
      </w:pPr>
      <w:r w:rsidRPr="00210C51">
        <w:rPr>
          <w:rFonts w:ascii="Arial" w:hAnsi="Arial" w:cs="Arial"/>
          <w:b/>
          <w:sz w:val="24"/>
          <w:szCs w:val="24"/>
          <w:u w:val="single"/>
        </w:rPr>
        <w:t xml:space="preserve">Table </w:t>
      </w:r>
      <w:r w:rsidR="00210C51" w:rsidRPr="00210C51">
        <w:rPr>
          <w:rFonts w:ascii="Arial" w:hAnsi="Arial" w:cs="Arial"/>
          <w:b/>
          <w:sz w:val="24"/>
          <w:szCs w:val="24"/>
          <w:u w:val="single"/>
        </w:rPr>
        <w:t>6</w:t>
      </w:r>
      <w:r w:rsidRPr="00210C51">
        <w:rPr>
          <w:rFonts w:ascii="Arial" w:hAnsi="Arial" w:cs="Arial"/>
          <w:b/>
          <w:sz w:val="24"/>
          <w:szCs w:val="24"/>
          <w:u w:val="single"/>
        </w:rPr>
        <w:t xml:space="preserve">: Summary of Findings </w:t>
      </w:r>
      <w:r w:rsidR="001F35BB" w:rsidRPr="00210C51">
        <w:rPr>
          <w:rFonts w:ascii="Arial" w:hAnsi="Arial" w:cs="Arial"/>
          <w:b/>
          <w:sz w:val="24"/>
          <w:szCs w:val="24"/>
          <w:u w:val="single"/>
        </w:rPr>
        <w:t>f</w:t>
      </w:r>
      <w:r w:rsidRPr="00210C51">
        <w:rPr>
          <w:rFonts w:ascii="Arial" w:hAnsi="Arial" w:cs="Arial"/>
          <w:b/>
          <w:sz w:val="24"/>
          <w:szCs w:val="24"/>
          <w:u w:val="single"/>
        </w:rPr>
        <w:t>rom Assignment Reviews – 20</w:t>
      </w:r>
      <w:r w:rsidR="00210C51">
        <w:rPr>
          <w:rFonts w:ascii="Arial" w:hAnsi="Arial" w:cs="Arial"/>
          <w:b/>
          <w:sz w:val="24"/>
          <w:szCs w:val="24"/>
          <w:u w:val="single"/>
        </w:rPr>
        <w:t>20</w:t>
      </w:r>
      <w:r w:rsidRPr="00210C51">
        <w:rPr>
          <w:rFonts w:ascii="Arial" w:hAnsi="Arial" w:cs="Arial"/>
          <w:b/>
          <w:sz w:val="24"/>
          <w:szCs w:val="24"/>
          <w:u w:val="single"/>
        </w:rPr>
        <w:t>/20</w:t>
      </w:r>
      <w:r w:rsidR="00EC1836" w:rsidRPr="00210C51">
        <w:rPr>
          <w:rFonts w:ascii="Arial" w:hAnsi="Arial" w:cs="Arial"/>
          <w:b/>
          <w:sz w:val="24"/>
          <w:szCs w:val="24"/>
          <w:u w:val="single"/>
        </w:rPr>
        <w:t>2</w:t>
      </w:r>
      <w:r w:rsidR="00210C51">
        <w:rPr>
          <w:rFonts w:ascii="Arial" w:hAnsi="Arial" w:cs="Arial"/>
          <w:b/>
          <w:sz w:val="24"/>
          <w:szCs w:val="24"/>
          <w:u w:val="single"/>
        </w:rPr>
        <w:t>1</w:t>
      </w:r>
    </w:p>
    <w:p w:rsidR="00F069A0" w:rsidRPr="00F069A0" w:rsidRDefault="00F069A0" w:rsidP="00F069A0">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74"/>
        <w:gridCol w:w="2700"/>
      </w:tblGrid>
      <w:tr w:rsidR="00762311" w:rsidRPr="00762311" w:rsidTr="009C6858">
        <w:tc>
          <w:tcPr>
            <w:tcW w:w="3114" w:type="dxa"/>
            <w:shd w:val="clear" w:color="auto" w:fill="auto"/>
          </w:tcPr>
          <w:p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Assignment</w:t>
            </w:r>
          </w:p>
        </w:tc>
        <w:tc>
          <w:tcPr>
            <w:tcW w:w="3474" w:type="dxa"/>
            <w:shd w:val="clear" w:color="auto" w:fill="auto"/>
          </w:tcPr>
          <w:p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Summary of Findings</w:t>
            </w:r>
          </w:p>
          <w:p w:rsidR="00762311" w:rsidRPr="00762311" w:rsidRDefault="00762311" w:rsidP="00762311">
            <w:pPr>
              <w:autoSpaceDE w:val="0"/>
              <w:autoSpaceDN w:val="0"/>
              <w:adjustRightInd w:val="0"/>
              <w:jc w:val="center"/>
              <w:rPr>
                <w:rFonts w:ascii="Arial" w:hAnsi="Arial" w:cs="Arial"/>
                <w:b/>
                <w:bCs/>
                <w:color w:val="000000"/>
                <w:sz w:val="24"/>
                <w:szCs w:val="24"/>
                <w:lang w:eastAsia="en-GB"/>
              </w:rPr>
            </w:pPr>
          </w:p>
        </w:tc>
        <w:tc>
          <w:tcPr>
            <w:tcW w:w="2700" w:type="dxa"/>
            <w:shd w:val="clear" w:color="auto" w:fill="auto"/>
          </w:tcPr>
          <w:p w:rsidR="00762311" w:rsidRPr="00762311" w:rsidRDefault="00762311" w:rsidP="00762311">
            <w:pPr>
              <w:autoSpaceDE w:val="0"/>
              <w:autoSpaceDN w:val="0"/>
              <w:adjustRightInd w:val="0"/>
              <w:jc w:val="center"/>
              <w:rPr>
                <w:rFonts w:ascii="Arial" w:hAnsi="Arial" w:cs="Arial"/>
                <w:b/>
                <w:bCs/>
                <w:color w:val="000000"/>
                <w:sz w:val="24"/>
                <w:szCs w:val="24"/>
                <w:lang w:eastAsia="en-GB"/>
              </w:rPr>
            </w:pPr>
            <w:r w:rsidRPr="00762311">
              <w:rPr>
                <w:rFonts w:ascii="Arial" w:hAnsi="Arial" w:cs="Arial"/>
                <w:b/>
                <w:bCs/>
                <w:color w:val="000000"/>
                <w:sz w:val="24"/>
                <w:szCs w:val="24"/>
                <w:lang w:eastAsia="en-GB"/>
              </w:rPr>
              <w:t>Improvement Actions</w:t>
            </w:r>
          </w:p>
        </w:tc>
      </w:tr>
      <w:tr w:rsidR="00762311" w:rsidRPr="00762311" w:rsidTr="009C6858">
        <w:tc>
          <w:tcPr>
            <w:tcW w:w="3114" w:type="dxa"/>
            <w:shd w:val="clear" w:color="auto" w:fill="auto"/>
          </w:tcPr>
          <w:p w:rsidR="00762311" w:rsidRPr="00762311" w:rsidRDefault="009C6858" w:rsidP="009C6858">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Purchasing Arrangements</w:t>
            </w:r>
          </w:p>
        </w:tc>
        <w:tc>
          <w:tcPr>
            <w:tcW w:w="3474" w:type="dxa"/>
            <w:shd w:val="clear" w:color="auto" w:fill="auto"/>
          </w:tcPr>
          <w:p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p w:rsidR="00762311" w:rsidRPr="00762311" w:rsidRDefault="00762311" w:rsidP="00762311">
            <w:pPr>
              <w:autoSpaceDE w:val="0"/>
              <w:autoSpaceDN w:val="0"/>
              <w:adjustRightInd w:val="0"/>
              <w:jc w:val="center"/>
              <w:rPr>
                <w:rFonts w:ascii="Arial" w:hAnsi="Arial" w:cs="Arial"/>
                <w:color w:val="000000"/>
                <w:sz w:val="24"/>
                <w:szCs w:val="24"/>
                <w:lang w:eastAsia="en-GB"/>
              </w:rPr>
            </w:pPr>
          </w:p>
        </w:tc>
      </w:tr>
      <w:tr w:rsidR="00762311" w:rsidRPr="00762311" w:rsidTr="009C6858">
        <w:tc>
          <w:tcPr>
            <w:tcW w:w="3114" w:type="dxa"/>
            <w:shd w:val="clear" w:color="auto" w:fill="auto"/>
          </w:tcPr>
          <w:p w:rsidR="00762311" w:rsidRPr="00762311" w:rsidRDefault="009C6858" w:rsidP="0076231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Payroll</w:t>
            </w:r>
          </w:p>
        </w:tc>
        <w:tc>
          <w:tcPr>
            <w:tcW w:w="3474" w:type="dxa"/>
            <w:shd w:val="clear" w:color="auto" w:fill="auto"/>
          </w:tcPr>
          <w:p w:rsidR="00762311" w:rsidRPr="00762311" w:rsidRDefault="00762311" w:rsidP="00762311">
            <w:pPr>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rsidR="00762311" w:rsidRPr="00762311" w:rsidRDefault="00762311" w:rsidP="00762311">
            <w:pPr>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p w:rsidR="00762311" w:rsidRPr="00762311" w:rsidRDefault="00762311" w:rsidP="00762311">
            <w:pPr>
              <w:jc w:val="center"/>
              <w:rPr>
                <w:rFonts w:ascii="Arial" w:hAnsi="Arial" w:cs="Arial"/>
                <w:color w:val="000000"/>
                <w:sz w:val="24"/>
                <w:szCs w:val="24"/>
                <w:lang w:eastAsia="en-GB"/>
              </w:rPr>
            </w:pPr>
          </w:p>
        </w:tc>
      </w:tr>
      <w:tr w:rsidR="00762311" w:rsidRPr="00762311" w:rsidTr="009C6858">
        <w:tc>
          <w:tcPr>
            <w:tcW w:w="3114" w:type="dxa"/>
            <w:shd w:val="clear" w:color="auto" w:fill="auto"/>
          </w:tcPr>
          <w:p w:rsidR="00762311" w:rsidRPr="00762311" w:rsidRDefault="009C6858" w:rsidP="00762311">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IT Ordering Process</w:t>
            </w:r>
          </w:p>
          <w:p w:rsidR="00762311" w:rsidRPr="00762311" w:rsidRDefault="00762311" w:rsidP="00762311">
            <w:pPr>
              <w:autoSpaceDE w:val="0"/>
              <w:autoSpaceDN w:val="0"/>
              <w:adjustRightInd w:val="0"/>
              <w:jc w:val="center"/>
              <w:rPr>
                <w:rFonts w:ascii="Arial" w:hAnsi="Arial" w:cs="Arial"/>
                <w:color w:val="000000"/>
                <w:sz w:val="24"/>
                <w:szCs w:val="24"/>
                <w:lang w:eastAsia="en-GB"/>
              </w:rPr>
            </w:pPr>
          </w:p>
        </w:tc>
        <w:tc>
          <w:tcPr>
            <w:tcW w:w="3474" w:type="dxa"/>
            <w:shd w:val="clear" w:color="auto" w:fill="auto"/>
          </w:tcPr>
          <w:p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 issues</w:t>
            </w:r>
          </w:p>
        </w:tc>
        <w:tc>
          <w:tcPr>
            <w:tcW w:w="2700" w:type="dxa"/>
            <w:shd w:val="clear" w:color="auto" w:fill="auto"/>
          </w:tcPr>
          <w:p w:rsidR="00762311" w:rsidRPr="00762311" w:rsidRDefault="00762311" w:rsidP="00762311">
            <w:pPr>
              <w:autoSpaceDE w:val="0"/>
              <w:autoSpaceDN w:val="0"/>
              <w:adjustRightInd w:val="0"/>
              <w:jc w:val="center"/>
              <w:rPr>
                <w:rFonts w:ascii="Arial" w:hAnsi="Arial" w:cs="Arial"/>
                <w:color w:val="000000"/>
                <w:sz w:val="24"/>
                <w:szCs w:val="24"/>
                <w:lang w:eastAsia="en-GB"/>
              </w:rPr>
            </w:pPr>
            <w:r w:rsidRPr="00762311">
              <w:rPr>
                <w:rFonts w:ascii="Arial" w:hAnsi="Arial" w:cs="Arial"/>
                <w:color w:val="000000"/>
                <w:sz w:val="24"/>
                <w:szCs w:val="24"/>
                <w:lang w:eastAsia="en-GB"/>
              </w:rPr>
              <w:t>None</w:t>
            </w:r>
          </w:p>
        </w:tc>
      </w:tr>
    </w:tbl>
    <w:p w:rsidR="00A23C83" w:rsidRDefault="00A23C83" w:rsidP="00C8138B">
      <w:pPr>
        <w:pStyle w:val="BodyTextIndent"/>
        <w:ind w:hanging="720"/>
        <w:rPr>
          <w:rFonts w:ascii="Arial" w:hAnsi="Arial" w:cs="Arial"/>
          <w:szCs w:val="24"/>
        </w:rPr>
      </w:pPr>
    </w:p>
    <w:p w:rsidR="00A23C83" w:rsidRDefault="00A23C83" w:rsidP="00C8138B">
      <w:pPr>
        <w:pStyle w:val="BodyTextIndent"/>
        <w:ind w:hanging="720"/>
        <w:rPr>
          <w:rFonts w:ascii="Arial" w:hAnsi="Arial" w:cs="Arial"/>
          <w:szCs w:val="24"/>
        </w:rPr>
      </w:pPr>
    </w:p>
    <w:p w:rsidR="00C8138B" w:rsidRDefault="00C8138B" w:rsidP="00C8138B">
      <w:pPr>
        <w:pStyle w:val="BodyTextIndent"/>
        <w:ind w:hanging="720"/>
        <w:rPr>
          <w:rFonts w:ascii="Arial" w:hAnsi="Arial" w:cs="Arial"/>
          <w:szCs w:val="24"/>
        </w:rPr>
      </w:pPr>
      <w:r>
        <w:rPr>
          <w:rFonts w:ascii="Arial" w:hAnsi="Arial" w:cs="Arial"/>
          <w:szCs w:val="24"/>
        </w:rPr>
        <w:t>3.</w:t>
      </w:r>
      <w:r w:rsidR="00EA24E9">
        <w:rPr>
          <w:rFonts w:ascii="Arial" w:hAnsi="Arial" w:cs="Arial"/>
          <w:szCs w:val="24"/>
        </w:rPr>
        <w:t>16</w:t>
      </w:r>
      <w:r w:rsidR="00EA24E9">
        <w:rPr>
          <w:rFonts w:ascii="Arial" w:hAnsi="Arial" w:cs="Arial"/>
          <w:szCs w:val="24"/>
        </w:rPr>
        <w:tab/>
      </w:r>
      <w:r>
        <w:rPr>
          <w:rFonts w:ascii="Arial" w:hAnsi="Arial" w:cs="Arial"/>
          <w:szCs w:val="24"/>
        </w:rPr>
        <w:t xml:space="preserve">Based on the results of the above, the </w:t>
      </w:r>
      <w:r w:rsidR="006767E8">
        <w:rPr>
          <w:rFonts w:ascii="Arial" w:hAnsi="Arial" w:cs="Arial"/>
          <w:szCs w:val="24"/>
        </w:rPr>
        <w:t>Corporate</w:t>
      </w:r>
      <w:r w:rsidR="00AB5B37">
        <w:rPr>
          <w:rFonts w:ascii="Arial" w:hAnsi="Arial" w:cs="Arial"/>
          <w:szCs w:val="24"/>
        </w:rPr>
        <w:t xml:space="preserve"> Assurance Manager</w:t>
      </w:r>
      <w:r>
        <w:rPr>
          <w:rFonts w:ascii="Arial" w:hAnsi="Arial" w:cs="Arial"/>
          <w:szCs w:val="24"/>
        </w:rPr>
        <w:t xml:space="preserve"> can state that the Internal Audit Service has co</w:t>
      </w:r>
      <w:r w:rsidR="00F0326C">
        <w:rPr>
          <w:rFonts w:ascii="Arial" w:hAnsi="Arial" w:cs="Arial"/>
          <w:szCs w:val="24"/>
        </w:rPr>
        <w:t>mplied</w:t>
      </w:r>
      <w:r>
        <w:rPr>
          <w:rFonts w:ascii="Arial" w:hAnsi="Arial" w:cs="Arial"/>
          <w:szCs w:val="24"/>
        </w:rPr>
        <w:t xml:space="preserve"> </w:t>
      </w:r>
      <w:r w:rsidR="00F0326C">
        <w:rPr>
          <w:rFonts w:ascii="Arial" w:hAnsi="Arial" w:cs="Arial"/>
          <w:szCs w:val="24"/>
        </w:rPr>
        <w:t xml:space="preserve">with the expectations of the </w:t>
      </w:r>
      <w:r>
        <w:rPr>
          <w:rFonts w:ascii="Arial" w:hAnsi="Arial" w:cs="Arial"/>
          <w:szCs w:val="24"/>
        </w:rPr>
        <w:t>PSIAS and its Charter during 20</w:t>
      </w:r>
      <w:r w:rsidR="009C6858">
        <w:rPr>
          <w:rFonts w:ascii="Arial" w:hAnsi="Arial" w:cs="Arial"/>
          <w:szCs w:val="24"/>
        </w:rPr>
        <w:t>20</w:t>
      </w:r>
      <w:r>
        <w:rPr>
          <w:rFonts w:ascii="Arial" w:hAnsi="Arial" w:cs="Arial"/>
          <w:szCs w:val="24"/>
        </w:rPr>
        <w:t>/20</w:t>
      </w:r>
      <w:r w:rsidR="006767E8">
        <w:rPr>
          <w:rFonts w:ascii="Arial" w:hAnsi="Arial" w:cs="Arial"/>
          <w:szCs w:val="24"/>
        </w:rPr>
        <w:t>2</w:t>
      </w:r>
      <w:r w:rsidR="009C6858">
        <w:rPr>
          <w:rFonts w:ascii="Arial" w:hAnsi="Arial" w:cs="Arial"/>
          <w:szCs w:val="24"/>
        </w:rPr>
        <w:t>1, except for the resource issue identified</w:t>
      </w:r>
      <w:r w:rsidR="00904CEA">
        <w:rPr>
          <w:rFonts w:ascii="Arial" w:hAnsi="Arial" w:cs="Arial"/>
          <w:szCs w:val="24"/>
        </w:rPr>
        <w:t xml:space="preserve"> in respect of not filling the Trainee Auditor post</w:t>
      </w:r>
      <w:r>
        <w:rPr>
          <w:rFonts w:ascii="Arial" w:hAnsi="Arial" w:cs="Arial"/>
          <w:szCs w:val="24"/>
        </w:rPr>
        <w:t>.</w:t>
      </w:r>
      <w:r w:rsidR="00904CEA">
        <w:rPr>
          <w:rFonts w:ascii="Arial" w:hAnsi="Arial" w:cs="Arial"/>
          <w:szCs w:val="24"/>
        </w:rPr>
        <w:t xml:space="preserve"> However, this has not had an adverse effect upon service delivery.</w:t>
      </w:r>
    </w:p>
    <w:p w:rsidR="00A1315D" w:rsidRDefault="00A1315D" w:rsidP="00C8138B">
      <w:pPr>
        <w:pStyle w:val="BodyTextIndent"/>
        <w:ind w:hanging="720"/>
        <w:rPr>
          <w:rFonts w:ascii="Arial" w:hAnsi="Arial" w:cs="Arial"/>
          <w:szCs w:val="24"/>
        </w:rPr>
      </w:pPr>
    </w:p>
    <w:p w:rsidR="00F333E8" w:rsidRPr="009C6858" w:rsidRDefault="00F333E8" w:rsidP="008C1AF9">
      <w:pPr>
        <w:pStyle w:val="BodyTextIndent"/>
        <w:ind w:hanging="720"/>
        <w:rPr>
          <w:rFonts w:ascii="Arial" w:hAnsi="Arial" w:cs="Arial"/>
          <w:b/>
          <w:szCs w:val="24"/>
          <w:u w:val="single"/>
        </w:rPr>
      </w:pPr>
      <w:r>
        <w:rPr>
          <w:rFonts w:ascii="Arial" w:hAnsi="Arial" w:cs="Arial"/>
          <w:szCs w:val="24"/>
        </w:rPr>
        <w:tab/>
      </w:r>
      <w:r w:rsidRPr="009C6858">
        <w:rPr>
          <w:rFonts w:ascii="Arial" w:hAnsi="Arial" w:cs="Arial"/>
          <w:b/>
          <w:szCs w:val="24"/>
          <w:u w:val="single"/>
        </w:rPr>
        <w:t xml:space="preserve">Basis of </w:t>
      </w:r>
      <w:r w:rsidR="006767E8" w:rsidRPr="009C6858">
        <w:rPr>
          <w:rFonts w:ascii="Arial" w:hAnsi="Arial" w:cs="Arial"/>
          <w:b/>
          <w:szCs w:val="24"/>
          <w:u w:val="single"/>
        </w:rPr>
        <w:t>Corporate</w:t>
      </w:r>
      <w:r w:rsidR="00AB5B37" w:rsidRPr="009C6858">
        <w:rPr>
          <w:rFonts w:ascii="Arial" w:hAnsi="Arial" w:cs="Arial"/>
          <w:b/>
          <w:szCs w:val="24"/>
          <w:u w:val="single"/>
        </w:rPr>
        <w:t xml:space="preserve"> Assurance Manager</w:t>
      </w:r>
      <w:r w:rsidRPr="009C6858">
        <w:rPr>
          <w:rFonts w:ascii="Arial" w:hAnsi="Arial" w:cs="Arial"/>
          <w:b/>
          <w:szCs w:val="24"/>
          <w:u w:val="single"/>
        </w:rPr>
        <w:t>’s Opinion</w:t>
      </w:r>
      <w:r w:rsidR="00FD64F9" w:rsidRPr="009C6858">
        <w:rPr>
          <w:rFonts w:ascii="Arial" w:hAnsi="Arial" w:cs="Arial"/>
          <w:b/>
          <w:szCs w:val="24"/>
          <w:u w:val="single"/>
        </w:rPr>
        <w:t xml:space="preserve"> Statement</w:t>
      </w:r>
    </w:p>
    <w:p w:rsidR="008C1AF9" w:rsidRDefault="008C1AF9" w:rsidP="008C1AF9">
      <w:pPr>
        <w:pStyle w:val="BodyTextIndent"/>
        <w:ind w:left="567" w:hanging="567"/>
        <w:rPr>
          <w:rFonts w:ascii="Arial" w:hAnsi="Arial" w:cs="Arial"/>
          <w:szCs w:val="24"/>
        </w:rPr>
      </w:pPr>
    </w:p>
    <w:p w:rsidR="00F0326C" w:rsidRDefault="00641A4C" w:rsidP="00E42225">
      <w:pPr>
        <w:pStyle w:val="BodyTextIndent"/>
        <w:ind w:hanging="720"/>
        <w:rPr>
          <w:rFonts w:ascii="Arial" w:hAnsi="Arial" w:cs="Arial"/>
          <w:szCs w:val="24"/>
        </w:rPr>
      </w:pPr>
      <w:r>
        <w:rPr>
          <w:rFonts w:ascii="Arial" w:hAnsi="Arial" w:cs="Arial"/>
          <w:szCs w:val="24"/>
        </w:rPr>
        <w:t>3.</w:t>
      </w:r>
      <w:r w:rsidR="00165C36">
        <w:rPr>
          <w:rFonts w:ascii="Arial" w:hAnsi="Arial" w:cs="Arial"/>
          <w:szCs w:val="24"/>
        </w:rPr>
        <w:t>17</w:t>
      </w:r>
      <w:r>
        <w:rPr>
          <w:rFonts w:ascii="Arial" w:hAnsi="Arial" w:cs="Arial"/>
          <w:szCs w:val="24"/>
        </w:rPr>
        <w:tab/>
      </w:r>
      <w:r w:rsidR="00F0326C">
        <w:rPr>
          <w:rFonts w:ascii="Arial" w:hAnsi="Arial" w:cs="Arial"/>
          <w:szCs w:val="24"/>
        </w:rPr>
        <w:t xml:space="preserve">The </w:t>
      </w:r>
      <w:r w:rsidR="008963DB">
        <w:rPr>
          <w:rFonts w:ascii="Arial" w:hAnsi="Arial" w:cs="Arial"/>
          <w:szCs w:val="24"/>
        </w:rPr>
        <w:t>Corporate</w:t>
      </w:r>
      <w:r w:rsidR="00F0326C">
        <w:rPr>
          <w:rFonts w:ascii="Arial" w:hAnsi="Arial" w:cs="Arial"/>
          <w:szCs w:val="24"/>
        </w:rPr>
        <w:t xml:space="preserve"> Assurance Manager’s opinion on the overall adequacy and effectiveness of the organisation’s risk management, internal control and governance processes will be based upon the following key assurance sources:</w:t>
      </w:r>
    </w:p>
    <w:p w:rsidR="00F0326C" w:rsidRDefault="00F0326C" w:rsidP="00E42225">
      <w:pPr>
        <w:pStyle w:val="BodyTextIndent"/>
        <w:ind w:hanging="720"/>
        <w:rPr>
          <w:rFonts w:ascii="Arial" w:hAnsi="Arial" w:cs="Arial"/>
          <w:szCs w:val="24"/>
        </w:rPr>
      </w:pPr>
    </w:p>
    <w:p w:rsidR="009C6858" w:rsidRDefault="00F0326C" w:rsidP="00F0326C">
      <w:pPr>
        <w:pStyle w:val="BodyTextIndent"/>
        <w:numPr>
          <w:ilvl w:val="0"/>
          <w:numId w:val="15"/>
        </w:numPr>
        <w:rPr>
          <w:rFonts w:ascii="Arial" w:hAnsi="Arial" w:cs="Arial"/>
          <w:szCs w:val="24"/>
        </w:rPr>
      </w:pPr>
      <w:r>
        <w:rPr>
          <w:rFonts w:ascii="Arial" w:hAnsi="Arial" w:cs="Arial"/>
          <w:szCs w:val="24"/>
        </w:rPr>
        <w:t>Internal Audit’s planned review findings</w:t>
      </w:r>
    </w:p>
    <w:p w:rsidR="00641A4C" w:rsidRDefault="009C6858" w:rsidP="00F0326C">
      <w:pPr>
        <w:pStyle w:val="BodyTextIndent"/>
        <w:numPr>
          <w:ilvl w:val="0"/>
          <w:numId w:val="15"/>
        </w:numPr>
        <w:rPr>
          <w:rFonts w:ascii="Arial" w:hAnsi="Arial" w:cs="Arial"/>
          <w:szCs w:val="24"/>
        </w:rPr>
      </w:pPr>
      <w:r>
        <w:rPr>
          <w:rFonts w:ascii="Arial" w:hAnsi="Arial" w:cs="Arial"/>
          <w:szCs w:val="24"/>
        </w:rPr>
        <w:t xml:space="preserve">Real time </w:t>
      </w:r>
      <w:r w:rsidR="00E85CE6">
        <w:rPr>
          <w:rFonts w:ascii="Arial" w:hAnsi="Arial" w:cs="Arial"/>
          <w:szCs w:val="24"/>
        </w:rPr>
        <w:t xml:space="preserve">proactive </w:t>
      </w:r>
      <w:r>
        <w:rPr>
          <w:rFonts w:ascii="Arial" w:hAnsi="Arial" w:cs="Arial"/>
          <w:szCs w:val="24"/>
        </w:rPr>
        <w:t>assurance received in respect of the Council’s strategic risks</w:t>
      </w:r>
      <w:r w:rsidR="00F0326C">
        <w:rPr>
          <w:rFonts w:ascii="Arial" w:hAnsi="Arial" w:cs="Arial"/>
          <w:szCs w:val="24"/>
        </w:rPr>
        <w:t xml:space="preserve"> </w:t>
      </w:r>
    </w:p>
    <w:p w:rsidR="00F0326C" w:rsidRDefault="0003654B" w:rsidP="00F0326C">
      <w:pPr>
        <w:pStyle w:val="BodyTextIndent"/>
        <w:numPr>
          <w:ilvl w:val="0"/>
          <w:numId w:val="15"/>
        </w:numPr>
        <w:rPr>
          <w:rFonts w:ascii="Arial" w:hAnsi="Arial" w:cs="Arial"/>
          <w:szCs w:val="24"/>
        </w:rPr>
      </w:pPr>
      <w:r>
        <w:rPr>
          <w:rFonts w:ascii="Arial" w:hAnsi="Arial" w:cs="Arial"/>
          <w:szCs w:val="24"/>
        </w:rPr>
        <w:t xml:space="preserve">Findings from special investigations </w:t>
      </w:r>
      <w:r w:rsidR="00756303">
        <w:rPr>
          <w:rFonts w:ascii="Arial" w:hAnsi="Arial" w:cs="Arial"/>
          <w:szCs w:val="24"/>
        </w:rPr>
        <w:t xml:space="preserve">and consultancy engagements </w:t>
      </w:r>
      <w:r>
        <w:rPr>
          <w:rFonts w:ascii="Arial" w:hAnsi="Arial" w:cs="Arial"/>
          <w:szCs w:val="24"/>
        </w:rPr>
        <w:t>completed during 20</w:t>
      </w:r>
      <w:r w:rsidR="009C6858">
        <w:rPr>
          <w:rFonts w:ascii="Arial" w:hAnsi="Arial" w:cs="Arial"/>
          <w:szCs w:val="24"/>
        </w:rPr>
        <w:t>20</w:t>
      </w:r>
      <w:r>
        <w:rPr>
          <w:rFonts w:ascii="Arial" w:hAnsi="Arial" w:cs="Arial"/>
          <w:szCs w:val="24"/>
        </w:rPr>
        <w:t>/20</w:t>
      </w:r>
      <w:r w:rsidR="008963DB">
        <w:rPr>
          <w:rFonts w:ascii="Arial" w:hAnsi="Arial" w:cs="Arial"/>
          <w:szCs w:val="24"/>
        </w:rPr>
        <w:t>2</w:t>
      </w:r>
      <w:r w:rsidR="009C6858">
        <w:rPr>
          <w:rFonts w:ascii="Arial" w:hAnsi="Arial" w:cs="Arial"/>
          <w:szCs w:val="24"/>
        </w:rPr>
        <w:t>1</w:t>
      </w:r>
    </w:p>
    <w:p w:rsidR="0003654B" w:rsidRDefault="0003654B" w:rsidP="00F0326C">
      <w:pPr>
        <w:pStyle w:val="BodyTextIndent"/>
        <w:numPr>
          <w:ilvl w:val="0"/>
          <w:numId w:val="15"/>
        </w:numPr>
        <w:rPr>
          <w:rFonts w:ascii="Arial" w:hAnsi="Arial" w:cs="Arial"/>
          <w:szCs w:val="24"/>
        </w:rPr>
      </w:pPr>
      <w:r>
        <w:rPr>
          <w:rFonts w:ascii="Arial" w:hAnsi="Arial" w:cs="Arial"/>
          <w:szCs w:val="24"/>
        </w:rPr>
        <w:t>Level of implementation of Internal Audit recommendations made in previous reviews</w:t>
      </w:r>
    </w:p>
    <w:p w:rsidR="0003654B" w:rsidRDefault="0003654B" w:rsidP="00F0326C">
      <w:pPr>
        <w:pStyle w:val="BodyTextIndent"/>
        <w:numPr>
          <w:ilvl w:val="0"/>
          <w:numId w:val="15"/>
        </w:numPr>
        <w:rPr>
          <w:rFonts w:ascii="Arial" w:hAnsi="Arial" w:cs="Arial"/>
          <w:szCs w:val="24"/>
        </w:rPr>
      </w:pPr>
      <w:r>
        <w:rPr>
          <w:rFonts w:ascii="Arial" w:hAnsi="Arial" w:cs="Arial"/>
          <w:szCs w:val="24"/>
        </w:rPr>
        <w:t xml:space="preserve">The </w:t>
      </w:r>
      <w:r w:rsidR="008963DB">
        <w:rPr>
          <w:rFonts w:ascii="Arial" w:hAnsi="Arial" w:cs="Arial"/>
          <w:szCs w:val="24"/>
        </w:rPr>
        <w:t>Corporate</w:t>
      </w:r>
      <w:r>
        <w:rPr>
          <w:rFonts w:ascii="Arial" w:hAnsi="Arial" w:cs="Arial"/>
          <w:szCs w:val="24"/>
        </w:rPr>
        <w:t xml:space="preserve"> Assurance Manager’s annual reviews of the Council’s corporate governance, counter fraud and risk and opportunity management arrangements</w:t>
      </w:r>
    </w:p>
    <w:p w:rsidR="0003654B" w:rsidRDefault="0003654B" w:rsidP="00F0326C">
      <w:pPr>
        <w:pStyle w:val="BodyTextIndent"/>
        <w:numPr>
          <w:ilvl w:val="0"/>
          <w:numId w:val="15"/>
        </w:numPr>
        <w:rPr>
          <w:rFonts w:ascii="Arial" w:hAnsi="Arial" w:cs="Arial"/>
          <w:szCs w:val="24"/>
        </w:rPr>
      </w:pPr>
      <w:r>
        <w:rPr>
          <w:rFonts w:ascii="Arial" w:hAnsi="Arial" w:cs="Arial"/>
          <w:szCs w:val="24"/>
        </w:rPr>
        <w:t>Work performed by other assurance providers</w:t>
      </w:r>
    </w:p>
    <w:p w:rsidR="0003654B" w:rsidRDefault="0003654B" w:rsidP="0003654B">
      <w:pPr>
        <w:pStyle w:val="BodyTextIndent"/>
        <w:rPr>
          <w:rFonts w:ascii="Arial" w:hAnsi="Arial" w:cs="Arial"/>
          <w:szCs w:val="24"/>
        </w:rPr>
      </w:pPr>
    </w:p>
    <w:p w:rsidR="0003654B" w:rsidRPr="009C6858" w:rsidRDefault="0003654B" w:rsidP="0003654B">
      <w:pPr>
        <w:pStyle w:val="BodyTextIndent"/>
        <w:rPr>
          <w:rFonts w:ascii="Arial" w:hAnsi="Arial" w:cs="Arial"/>
          <w:b/>
          <w:szCs w:val="24"/>
        </w:rPr>
      </w:pPr>
      <w:r w:rsidRPr="009C6858">
        <w:rPr>
          <w:rFonts w:ascii="Arial" w:hAnsi="Arial" w:cs="Arial"/>
          <w:b/>
          <w:szCs w:val="24"/>
          <w:u w:val="single"/>
        </w:rPr>
        <w:t>Internal Audit Planned Review Findings</w:t>
      </w:r>
    </w:p>
    <w:p w:rsidR="0003654B" w:rsidRDefault="0003654B" w:rsidP="0003654B">
      <w:pPr>
        <w:pStyle w:val="BodyTextIndent"/>
        <w:ind w:left="0"/>
        <w:rPr>
          <w:rFonts w:ascii="Arial" w:hAnsi="Arial" w:cs="Arial"/>
          <w:szCs w:val="24"/>
        </w:rPr>
      </w:pPr>
    </w:p>
    <w:p w:rsidR="0003654B" w:rsidRPr="0003654B" w:rsidRDefault="0003654B" w:rsidP="0003654B">
      <w:pPr>
        <w:pStyle w:val="BodyTextIndent"/>
        <w:ind w:hanging="720"/>
        <w:rPr>
          <w:rFonts w:ascii="Arial" w:hAnsi="Arial" w:cs="Arial"/>
          <w:szCs w:val="24"/>
        </w:rPr>
      </w:pPr>
      <w:r>
        <w:rPr>
          <w:rFonts w:ascii="Arial" w:hAnsi="Arial" w:cs="Arial"/>
          <w:szCs w:val="24"/>
        </w:rPr>
        <w:t>3.1</w:t>
      </w:r>
      <w:r w:rsidR="00165C36">
        <w:rPr>
          <w:rFonts w:ascii="Arial" w:hAnsi="Arial" w:cs="Arial"/>
          <w:szCs w:val="24"/>
        </w:rPr>
        <w:t>8</w:t>
      </w:r>
      <w:r>
        <w:rPr>
          <w:rFonts w:ascii="Arial" w:hAnsi="Arial" w:cs="Arial"/>
          <w:szCs w:val="24"/>
        </w:rPr>
        <w:tab/>
      </w:r>
      <w:r w:rsidR="008438B4">
        <w:rPr>
          <w:rFonts w:ascii="Arial" w:hAnsi="Arial" w:cs="Arial"/>
          <w:szCs w:val="24"/>
        </w:rPr>
        <w:t>The</w:t>
      </w:r>
      <w:r>
        <w:rPr>
          <w:rFonts w:ascii="Arial" w:hAnsi="Arial" w:cs="Arial"/>
          <w:szCs w:val="24"/>
        </w:rPr>
        <w:t xml:space="preserve"> </w:t>
      </w:r>
      <w:r w:rsidR="008963DB">
        <w:rPr>
          <w:rFonts w:ascii="Arial" w:hAnsi="Arial" w:cs="Arial"/>
          <w:szCs w:val="24"/>
        </w:rPr>
        <w:t>Corporate</w:t>
      </w:r>
      <w:r>
        <w:rPr>
          <w:rFonts w:ascii="Arial" w:hAnsi="Arial" w:cs="Arial"/>
          <w:szCs w:val="24"/>
        </w:rPr>
        <w:t xml:space="preserve"> Assurance Manager’s opinion on the overall internal control environment </w:t>
      </w:r>
      <w:r w:rsidR="008438B4">
        <w:rPr>
          <w:rFonts w:ascii="Arial" w:hAnsi="Arial" w:cs="Arial"/>
          <w:szCs w:val="24"/>
        </w:rPr>
        <w:t>is</w:t>
      </w:r>
      <w:r w:rsidR="00E91B50">
        <w:rPr>
          <w:rFonts w:ascii="Arial" w:hAnsi="Arial" w:cs="Arial"/>
          <w:szCs w:val="24"/>
        </w:rPr>
        <w:t xml:space="preserve"> based upon </w:t>
      </w:r>
      <w:r w:rsidR="008438B4">
        <w:rPr>
          <w:rFonts w:ascii="Arial" w:hAnsi="Arial" w:cs="Arial"/>
          <w:szCs w:val="24"/>
        </w:rPr>
        <w:t xml:space="preserve">achievement of </w:t>
      </w:r>
      <w:r w:rsidR="00E91B50">
        <w:rPr>
          <w:rFonts w:ascii="Arial" w:hAnsi="Arial" w:cs="Arial"/>
          <w:szCs w:val="24"/>
        </w:rPr>
        <w:t>the following assurance levels:</w:t>
      </w:r>
    </w:p>
    <w:p w:rsidR="00E42225" w:rsidRDefault="00E42225" w:rsidP="00E42225">
      <w:pPr>
        <w:pStyle w:val="BodyTextIndent"/>
        <w:ind w:hanging="720"/>
        <w:rPr>
          <w:rFonts w:ascii="Arial" w:hAnsi="Arial" w:cs="Arial"/>
          <w:szCs w:val="24"/>
        </w:rPr>
      </w:pPr>
    </w:p>
    <w:p w:rsidR="00E42225" w:rsidRDefault="00E42225" w:rsidP="00E42225">
      <w:pPr>
        <w:pStyle w:val="BodyTextIndent"/>
        <w:numPr>
          <w:ilvl w:val="0"/>
          <w:numId w:val="5"/>
        </w:numPr>
        <w:rPr>
          <w:rFonts w:ascii="Arial" w:hAnsi="Arial" w:cs="Arial"/>
          <w:szCs w:val="24"/>
        </w:rPr>
      </w:pPr>
      <w:r>
        <w:rPr>
          <w:rFonts w:ascii="Arial" w:hAnsi="Arial" w:cs="Arial"/>
          <w:szCs w:val="24"/>
        </w:rPr>
        <w:t xml:space="preserve">More than </w:t>
      </w:r>
      <w:r w:rsidR="00283A4B">
        <w:rPr>
          <w:rFonts w:ascii="Arial" w:hAnsi="Arial" w:cs="Arial"/>
          <w:szCs w:val="24"/>
        </w:rPr>
        <w:t>85</w:t>
      </w:r>
      <w:r>
        <w:rPr>
          <w:rFonts w:ascii="Arial" w:hAnsi="Arial" w:cs="Arial"/>
          <w:szCs w:val="24"/>
        </w:rPr>
        <w:t xml:space="preserve"> per cent of reviews must achieve an assurance level of</w:t>
      </w:r>
      <w:r w:rsidR="00816C93">
        <w:rPr>
          <w:rFonts w:ascii="Arial" w:hAnsi="Arial" w:cs="Arial"/>
          <w:szCs w:val="24"/>
        </w:rPr>
        <w:t xml:space="preserve"> at least satisfactory</w:t>
      </w:r>
    </w:p>
    <w:p w:rsidR="00816C93" w:rsidRDefault="00816C93" w:rsidP="00E42225">
      <w:pPr>
        <w:pStyle w:val="BodyTextIndent"/>
        <w:numPr>
          <w:ilvl w:val="0"/>
          <w:numId w:val="5"/>
        </w:numPr>
        <w:rPr>
          <w:rFonts w:ascii="Arial" w:hAnsi="Arial" w:cs="Arial"/>
          <w:szCs w:val="24"/>
        </w:rPr>
      </w:pPr>
      <w:r>
        <w:rPr>
          <w:rFonts w:ascii="Arial" w:hAnsi="Arial" w:cs="Arial"/>
          <w:szCs w:val="24"/>
        </w:rPr>
        <w:t>There are no key financial systems that achieve a</w:t>
      </w:r>
      <w:r w:rsidR="00283A4B">
        <w:rPr>
          <w:rFonts w:ascii="Arial" w:hAnsi="Arial" w:cs="Arial"/>
          <w:szCs w:val="24"/>
        </w:rPr>
        <w:t>n unsatisfactory</w:t>
      </w:r>
      <w:r>
        <w:rPr>
          <w:rFonts w:ascii="Arial" w:hAnsi="Arial" w:cs="Arial"/>
          <w:szCs w:val="24"/>
        </w:rPr>
        <w:t xml:space="preserve"> assurance level</w:t>
      </w:r>
    </w:p>
    <w:p w:rsidR="00816C93" w:rsidRDefault="00816C93" w:rsidP="00816C93">
      <w:pPr>
        <w:pStyle w:val="BodyTextIndent"/>
        <w:rPr>
          <w:rFonts w:ascii="Arial" w:hAnsi="Arial" w:cs="Arial"/>
          <w:szCs w:val="24"/>
        </w:rPr>
      </w:pPr>
    </w:p>
    <w:p w:rsidR="00816C93" w:rsidRDefault="00816C93" w:rsidP="00816C93">
      <w:pPr>
        <w:pStyle w:val="BodyTextIndent"/>
        <w:rPr>
          <w:rFonts w:ascii="Arial" w:hAnsi="Arial" w:cs="Arial"/>
          <w:szCs w:val="24"/>
        </w:rPr>
      </w:pPr>
      <w:r>
        <w:rPr>
          <w:rFonts w:ascii="Arial" w:hAnsi="Arial" w:cs="Arial"/>
          <w:szCs w:val="24"/>
        </w:rPr>
        <w:t>The definition of the different assurance levels are detailed below:</w:t>
      </w:r>
    </w:p>
    <w:p w:rsidR="00B2492D" w:rsidRDefault="00B2492D" w:rsidP="00816C93">
      <w:pPr>
        <w:pStyle w:val="BodyTextIndent"/>
        <w:rPr>
          <w:rFonts w:ascii="Arial" w:hAnsi="Arial" w:cs="Arial"/>
          <w:szCs w:val="24"/>
        </w:rPr>
        <w:sectPr w:rsidR="00B2492D" w:rsidSect="006F506C">
          <w:pgSz w:w="12240" w:h="15840"/>
          <w:pgMar w:top="1440" w:right="1800" w:bottom="1440" w:left="1800" w:header="720" w:footer="720" w:gutter="0"/>
          <w:cols w:space="720"/>
          <w:docGrid w:linePitch="272"/>
        </w:sectPr>
      </w:pPr>
    </w:p>
    <w:p w:rsidR="00E04535" w:rsidRDefault="00E04535" w:rsidP="00E04535">
      <w:pPr>
        <w:rPr>
          <w:rFonts w:ascii="Arial" w:hAnsi="Arial"/>
        </w:rPr>
      </w:pPr>
    </w:p>
    <w:tbl>
      <w:tblPr>
        <w:tblW w:w="0" w:type="dxa"/>
        <w:tblLayout w:type="fixed"/>
        <w:tblCellMar>
          <w:left w:w="30" w:type="dxa"/>
          <w:right w:w="30" w:type="dxa"/>
        </w:tblCellMar>
        <w:tblLook w:val="04A0" w:firstRow="1" w:lastRow="0" w:firstColumn="1" w:lastColumn="0" w:noHBand="0" w:noVBand="1"/>
      </w:tblPr>
      <w:tblGrid>
        <w:gridCol w:w="4992"/>
        <w:gridCol w:w="8788"/>
      </w:tblGrid>
      <w:tr w:rsidR="00277717" w:rsidRPr="00277717" w:rsidTr="00277717">
        <w:trPr>
          <w:trHeight w:val="410"/>
        </w:trPr>
        <w:tc>
          <w:tcPr>
            <w:tcW w:w="4992"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autoSpaceDE w:val="0"/>
              <w:autoSpaceDN w:val="0"/>
              <w:adjustRightInd w:val="0"/>
              <w:jc w:val="center"/>
              <w:rPr>
                <w:rFonts w:ascii="Arial" w:hAnsi="Arial" w:cs="Arial"/>
                <w:b/>
                <w:color w:val="000000"/>
                <w:sz w:val="24"/>
                <w:szCs w:val="24"/>
                <w:lang w:eastAsia="en-GB"/>
              </w:rPr>
            </w:pPr>
            <w:r w:rsidRPr="00277717">
              <w:rPr>
                <w:rFonts w:ascii="Arial" w:hAnsi="Arial" w:cs="Arial"/>
                <w:b/>
                <w:color w:val="000000"/>
                <w:sz w:val="24"/>
                <w:szCs w:val="24"/>
                <w:lang w:eastAsia="en-GB"/>
              </w:rPr>
              <w:t>Assurance Level</w:t>
            </w:r>
          </w:p>
        </w:tc>
        <w:tc>
          <w:tcPr>
            <w:tcW w:w="8788" w:type="dxa"/>
            <w:tcBorders>
              <w:top w:val="single" w:sz="6" w:space="0" w:color="auto"/>
              <w:left w:val="single" w:sz="6" w:space="0" w:color="auto"/>
              <w:bottom w:val="single" w:sz="6" w:space="0" w:color="auto"/>
              <w:right w:val="single" w:sz="6" w:space="0" w:color="auto"/>
            </w:tcBorders>
          </w:tcPr>
          <w:p w:rsidR="00277717" w:rsidRPr="00277717" w:rsidRDefault="00277717" w:rsidP="00277717">
            <w:pPr>
              <w:autoSpaceDE w:val="0"/>
              <w:autoSpaceDN w:val="0"/>
              <w:adjustRightInd w:val="0"/>
              <w:jc w:val="center"/>
              <w:rPr>
                <w:rFonts w:ascii="Arial" w:hAnsi="Arial" w:cs="Arial"/>
                <w:b/>
                <w:color w:val="000000"/>
                <w:sz w:val="24"/>
                <w:szCs w:val="24"/>
                <w:lang w:eastAsia="en-GB"/>
              </w:rPr>
            </w:pPr>
            <w:r w:rsidRPr="00277717">
              <w:rPr>
                <w:rFonts w:ascii="Arial" w:hAnsi="Arial" w:cs="Arial"/>
                <w:b/>
                <w:color w:val="000000"/>
                <w:sz w:val="24"/>
                <w:szCs w:val="24"/>
                <w:lang w:eastAsia="en-GB"/>
              </w:rPr>
              <w:t>Definition</w:t>
            </w:r>
          </w:p>
          <w:p w:rsidR="00277717" w:rsidRPr="00277717" w:rsidRDefault="00277717" w:rsidP="00277717">
            <w:pPr>
              <w:autoSpaceDE w:val="0"/>
              <w:autoSpaceDN w:val="0"/>
              <w:adjustRightInd w:val="0"/>
              <w:jc w:val="center"/>
              <w:rPr>
                <w:rFonts w:ascii="Arial" w:hAnsi="Arial" w:cs="Arial"/>
                <w:b/>
                <w:color w:val="000000"/>
                <w:sz w:val="24"/>
                <w:szCs w:val="24"/>
                <w:lang w:eastAsia="en-GB"/>
              </w:rPr>
            </w:pPr>
          </w:p>
        </w:tc>
      </w:tr>
      <w:tr w:rsidR="00277717" w:rsidRPr="00277717" w:rsidTr="00277717">
        <w:trPr>
          <w:trHeight w:val="582"/>
        </w:trPr>
        <w:tc>
          <w:tcPr>
            <w:tcW w:w="4992"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autoSpaceDE w:val="0"/>
              <w:autoSpaceDN w:val="0"/>
              <w:adjustRightInd w:val="0"/>
              <w:ind w:right="112"/>
              <w:jc w:val="center"/>
              <w:rPr>
                <w:rFonts w:ascii="Arial" w:hAnsi="Arial" w:cs="Arial"/>
                <w:color w:val="000000"/>
                <w:sz w:val="24"/>
                <w:szCs w:val="24"/>
                <w:lang w:eastAsia="en-GB"/>
              </w:rPr>
            </w:pPr>
            <w:r w:rsidRPr="00277717">
              <w:rPr>
                <w:rFonts w:ascii="Arial" w:hAnsi="Arial" w:cs="Arial"/>
                <w:color w:val="000000"/>
                <w:sz w:val="24"/>
                <w:szCs w:val="24"/>
                <w:lang w:eastAsia="en-GB"/>
              </w:rPr>
              <w:t>Excellent</w:t>
            </w:r>
          </w:p>
        </w:tc>
        <w:tc>
          <w:tcPr>
            <w:tcW w:w="8788"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No High / Medium risk issues have been identified during the review</w:t>
            </w:r>
          </w:p>
        </w:tc>
      </w:tr>
      <w:tr w:rsidR="00277717" w:rsidRPr="00277717" w:rsidTr="00277717">
        <w:trPr>
          <w:trHeight w:val="694"/>
        </w:trPr>
        <w:tc>
          <w:tcPr>
            <w:tcW w:w="4992"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Good</w:t>
            </w:r>
          </w:p>
        </w:tc>
        <w:tc>
          <w:tcPr>
            <w:tcW w:w="8788"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numPr>
                <w:ilvl w:val="0"/>
                <w:numId w:val="18"/>
              </w:numPr>
              <w:autoSpaceDE w:val="0"/>
              <w:autoSpaceDN w:val="0"/>
              <w:adjustRightInd w:val="0"/>
              <w:ind w:right="112"/>
              <w:rPr>
                <w:rFonts w:ascii="Arial" w:hAnsi="Arial" w:cs="Arial"/>
                <w:color w:val="000000"/>
                <w:sz w:val="24"/>
                <w:szCs w:val="24"/>
                <w:lang w:eastAsia="en-GB"/>
              </w:rPr>
            </w:pPr>
            <w:r w:rsidRPr="00277717">
              <w:rPr>
                <w:rFonts w:ascii="Arial" w:hAnsi="Arial" w:cs="Arial"/>
                <w:color w:val="000000"/>
                <w:sz w:val="24"/>
                <w:szCs w:val="24"/>
                <w:lang w:eastAsia="en-GB"/>
              </w:rPr>
              <w:t>No High risk issues have been identified during the review</w:t>
            </w:r>
          </w:p>
          <w:p w:rsidR="00277717" w:rsidRPr="00277717" w:rsidRDefault="00277717" w:rsidP="00277717">
            <w:pPr>
              <w:numPr>
                <w:ilvl w:val="0"/>
                <w:numId w:val="18"/>
              </w:numPr>
              <w:autoSpaceDE w:val="0"/>
              <w:autoSpaceDN w:val="0"/>
              <w:adjustRightInd w:val="0"/>
              <w:ind w:right="112"/>
              <w:rPr>
                <w:rFonts w:ascii="Arial" w:hAnsi="Arial" w:cs="Arial"/>
                <w:color w:val="000000"/>
                <w:sz w:val="24"/>
                <w:szCs w:val="24"/>
                <w:lang w:eastAsia="en-GB"/>
              </w:rPr>
            </w:pPr>
            <w:r w:rsidRPr="00277717">
              <w:rPr>
                <w:rFonts w:ascii="Arial" w:hAnsi="Arial" w:cs="Arial"/>
                <w:color w:val="000000"/>
                <w:sz w:val="24"/>
                <w:szCs w:val="24"/>
                <w:lang w:eastAsia="en-GB"/>
              </w:rPr>
              <w:t>A maximum of 1 Medium risk issue has been identified during the review</w:t>
            </w:r>
          </w:p>
        </w:tc>
      </w:tr>
      <w:tr w:rsidR="00277717" w:rsidRPr="00277717" w:rsidTr="00277717">
        <w:trPr>
          <w:trHeight w:val="831"/>
        </w:trPr>
        <w:tc>
          <w:tcPr>
            <w:tcW w:w="4992" w:type="dxa"/>
            <w:tcBorders>
              <w:top w:val="single" w:sz="6" w:space="0" w:color="auto"/>
              <w:left w:val="single" w:sz="6" w:space="0" w:color="auto"/>
              <w:bottom w:val="single" w:sz="6" w:space="0" w:color="auto"/>
              <w:right w:val="single" w:sz="6" w:space="0" w:color="auto"/>
            </w:tcBorders>
          </w:tcPr>
          <w:p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Satisfactory</w:t>
            </w:r>
          </w:p>
          <w:p w:rsidR="00277717" w:rsidRPr="00277717" w:rsidRDefault="00277717" w:rsidP="00277717">
            <w:pPr>
              <w:autoSpaceDE w:val="0"/>
              <w:autoSpaceDN w:val="0"/>
              <w:adjustRightInd w:val="0"/>
              <w:rPr>
                <w:rFonts w:ascii="Arial" w:hAnsi="Arial" w:cs="Arial"/>
                <w:color w:val="000000"/>
                <w:sz w:val="24"/>
                <w:szCs w:val="24"/>
                <w:lang w:eastAsia="en-GB"/>
              </w:rPr>
            </w:pPr>
          </w:p>
        </w:tc>
        <w:tc>
          <w:tcPr>
            <w:tcW w:w="8788" w:type="dxa"/>
            <w:tcBorders>
              <w:top w:val="single" w:sz="6" w:space="0" w:color="auto"/>
              <w:left w:val="single" w:sz="6" w:space="0" w:color="auto"/>
              <w:bottom w:val="single" w:sz="6" w:space="0" w:color="auto"/>
              <w:right w:val="single" w:sz="6" w:space="0" w:color="auto"/>
            </w:tcBorders>
          </w:tcPr>
          <w:p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A maximum of 1 High risk issue has been identified during the review</w:t>
            </w:r>
          </w:p>
          <w:p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A maximum of 3 Medium risk issues have been identified during the review</w:t>
            </w:r>
          </w:p>
          <w:p w:rsidR="00277717" w:rsidRPr="00277717" w:rsidRDefault="00277717" w:rsidP="00277717">
            <w:pPr>
              <w:autoSpaceDE w:val="0"/>
              <w:autoSpaceDN w:val="0"/>
              <w:adjustRightInd w:val="0"/>
              <w:ind w:left="720"/>
              <w:rPr>
                <w:rFonts w:ascii="Arial" w:hAnsi="Arial" w:cs="Arial"/>
                <w:color w:val="000000"/>
                <w:sz w:val="24"/>
                <w:szCs w:val="24"/>
                <w:lang w:eastAsia="en-GB"/>
              </w:rPr>
            </w:pPr>
          </w:p>
        </w:tc>
      </w:tr>
      <w:tr w:rsidR="00277717" w:rsidRPr="00277717" w:rsidTr="00277717">
        <w:trPr>
          <w:trHeight w:val="831"/>
        </w:trPr>
        <w:tc>
          <w:tcPr>
            <w:tcW w:w="4992" w:type="dxa"/>
            <w:tcBorders>
              <w:top w:val="single" w:sz="6" w:space="0" w:color="auto"/>
              <w:left w:val="single" w:sz="6" w:space="0" w:color="auto"/>
              <w:bottom w:val="single" w:sz="6" w:space="0" w:color="auto"/>
              <w:right w:val="single" w:sz="6" w:space="0" w:color="auto"/>
            </w:tcBorders>
            <w:hideMark/>
          </w:tcPr>
          <w:p w:rsidR="00277717" w:rsidRPr="00277717" w:rsidRDefault="00277717" w:rsidP="00277717">
            <w:pPr>
              <w:autoSpaceDE w:val="0"/>
              <w:autoSpaceDN w:val="0"/>
              <w:adjustRightInd w:val="0"/>
              <w:jc w:val="center"/>
              <w:rPr>
                <w:rFonts w:ascii="Arial" w:hAnsi="Arial" w:cs="Arial"/>
                <w:color w:val="000000"/>
                <w:sz w:val="24"/>
                <w:szCs w:val="24"/>
                <w:lang w:eastAsia="en-GB"/>
              </w:rPr>
            </w:pPr>
            <w:r w:rsidRPr="00277717">
              <w:rPr>
                <w:rFonts w:ascii="Arial" w:hAnsi="Arial" w:cs="Arial"/>
                <w:color w:val="000000"/>
                <w:sz w:val="24"/>
                <w:szCs w:val="24"/>
                <w:lang w:eastAsia="en-GB"/>
              </w:rPr>
              <w:t>Unsatisfactory</w:t>
            </w:r>
          </w:p>
        </w:tc>
        <w:tc>
          <w:tcPr>
            <w:tcW w:w="8788" w:type="dxa"/>
            <w:tcBorders>
              <w:top w:val="single" w:sz="6" w:space="0" w:color="auto"/>
              <w:left w:val="single" w:sz="6" w:space="0" w:color="auto"/>
              <w:bottom w:val="single" w:sz="6" w:space="0" w:color="auto"/>
              <w:right w:val="single" w:sz="6" w:space="0" w:color="auto"/>
            </w:tcBorders>
          </w:tcPr>
          <w:p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More than 1 High risk issue has been identified</w:t>
            </w:r>
          </w:p>
          <w:p w:rsidR="00277717" w:rsidRPr="00277717" w:rsidRDefault="00277717" w:rsidP="00277717">
            <w:pPr>
              <w:numPr>
                <w:ilvl w:val="0"/>
                <w:numId w:val="18"/>
              </w:numPr>
              <w:autoSpaceDE w:val="0"/>
              <w:autoSpaceDN w:val="0"/>
              <w:adjustRightInd w:val="0"/>
              <w:rPr>
                <w:rFonts w:ascii="Arial" w:hAnsi="Arial" w:cs="Arial"/>
                <w:color w:val="000000"/>
                <w:sz w:val="24"/>
                <w:szCs w:val="24"/>
                <w:lang w:eastAsia="en-GB"/>
              </w:rPr>
            </w:pPr>
            <w:r w:rsidRPr="00277717">
              <w:rPr>
                <w:rFonts w:ascii="Arial" w:hAnsi="Arial" w:cs="Arial"/>
                <w:color w:val="000000"/>
                <w:sz w:val="24"/>
                <w:szCs w:val="24"/>
                <w:lang w:eastAsia="en-GB"/>
              </w:rPr>
              <w:t xml:space="preserve">More than 3 Medium risk issues have been identified </w:t>
            </w:r>
          </w:p>
          <w:p w:rsidR="00277717" w:rsidRPr="00277717" w:rsidRDefault="00277717" w:rsidP="00277717">
            <w:pPr>
              <w:autoSpaceDE w:val="0"/>
              <w:autoSpaceDN w:val="0"/>
              <w:adjustRightInd w:val="0"/>
              <w:ind w:left="720"/>
              <w:rPr>
                <w:rFonts w:ascii="Arial" w:hAnsi="Arial" w:cs="Arial"/>
                <w:color w:val="000000"/>
                <w:sz w:val="24"/>
                <w:szCs w:val="24"/>
                <w:lang w:eastAsia="en-GB"/>
              </w:rPr>
            </w:pPr>
          </w:p>
        </w:tc>
      </w:tr>
    </w:tbl>
    <w:p w:rsidR="00E04535" w:rsidRDefault="00E04535" w:rsidP="00E04535">
      <w:pPr>
        <w:sectPr w:rsidR="00E04535" w:rsidSect="00E04535">
          <w:pgSz w:w="15840" w:h="12240" w:orient="landscape"/>
          <w:pgMar w:top="1800" w:right="1440" w:bottom="1800" w:left="1440" w:header="720" w:footer="720" w:gutter="0"/>
          <w:cols w:space="720"/>
          <w:docGrid w:linePitch="272"/>
        </w:sectPr>
      </w:pPr>
    </w:p>
    <w:p w:rsidR="00EE0192" w:rsidRDefault="008F2CBC" w:rsidP="009761B9">
      <w:pPr>
        <w:pStyle w:val="BodyTextIndent"/>
        <w:ind w:left="709" w:hanging="709"/>
        <w:rPr>
          <w:rFonts w:ascii="Arial" w:hAnsi="Arial" w:cs="Arial"/>
          <w:szCs w:val="24"/>
        </w:rPr>
      </w:pPr>
      <w:r>
        <w:rPr>
          <w:rFonts w:ascii="Arial" w:hAnsi="Arial" w:cs="Arial"/>
          <w:szCs w:val="24"/>
        </w:rPr>
        <w:t>3.</w:t>
      </w:r>
      <w:r w:rsidR="00CA3C98">
        <w:rPr>
          <w:rFonts w:ascii="Arial" w:hAnsi="Arial" w:cs="Arial"/>
          <w:szCs w:val="24"/>
        </w:rPr>
        <w:t>1</w:t>
      </w:r>
      <w:r w:rsidR="00165C36">
        <w:rPr>
          <w:rFonts w:ascii="Arial" w:hAnsi="Arial" w:cs="Arial"/>
          <w:szCs w:val="24"/>
        </w:rPr>
        <w:t>9</w:t>
      </w:r>
      <w:r>
        <w:rPr>
          <w:rFonts w:ascii="Arial" w:hAnsi="Arial" w:cs="Arial"/>
          <w:szCs w:val="24"/>
        </w:rPr>
        <w:tab/>
      </w:r>
      <w:r w:rsidR="009761B9">
        <w:rPr>
          <w:rFonts w:ascii="Arial" w:hAnsi="Arial" w:cs="Arial"/>
          <w:szCs w:val="24"/>
        </w:rPr>
        <w:tab/>
      </w:r>
      <w:r>
        <w:rPr>
          <w:rFonts w:ascii="Arial" w:hAnsi="Arial" w:cs="Arial"/>
          <w:szCs w:val="24"/>
        </w:rPr>
        <w:t xml:space="preserve">The findings from the </w:t>
      </w:r>
      <w:r w:rsidR="008C0B72">
        <w:rPr>
          <w:rFonts w:ascii="Arial" w:hAnsi="Arial" w:cs="Arial"/>
          <w:szCs w:val="24"/>
        </w:rPr>
        <w:t xml:space="preserve">planned </w:t>
      </w:r>
      <w:r>
        <w:rPr>
          <w:rFonts w:ascii="Arial" w:hAnsi="Arial" w:cs="Arial"/>
          <w:szCs w:val="24"/>
        </w:rPr>
        <w:t xml:space="preserve">reviews completed </w:t>
      </w:r>
      <w:r w:rsidR="008D7A63">
        <w:rPr>
          <w:rFonts w:ascii="Arial" w:hAnsi="Arial" w:cs="Arial"/>
          <w:szCs w:val="24"/>
        </w:rPr>
        <w:t xml:space="preserve">and issued </w:t>
      </w:r>
      <w:r>
        <w:rPr>
          <w:rFonts w:ascii="Arial" w:hAnsi="Arial" w:cs="Arial"/>
          <w:szCs w:val="24"/>
        </w:rPr>
        <w:t>by Internal Audit during 20</w:t>
      </w:r>
      <w:r w:rsidR="00715C1F">
        <w:rPr>
          <w:rFonts w:ascii="Arial" w:hAnsi="Arial" w:cs="Arial"/>
          <w:szCs w:val="24"/>
        </w:rPr>
        <w:t>20</w:t>
      </w:r>
      <w:r>
        <w:rPr>
          <w:rFonts w:ascii="Arial" w:hAnsi="Arial" w:cs="Arial"/>
          <w:szCs w:val="24"/>
        </w:rPr>
        <w:t>/20</w:t>
      </w:r>
      <w:r w:rsidR="00DE48EF">
        <w:rPr>
          <w:rFonts w:ascii="Arial" w:hAnsi="Arial" w:cs="Arial"/>
          <w:szCs w:val="24"/>
        </w:rPr>
        <w:t>2</w:t>
      </w:r>
      <w:r w:rsidR="00715C1F">
        <w:rPr>
          <w:rFonts w:ascii="Arial" w:hAnsi="Arial" w:cs="Arial"/>
          <w:szCs w:val="24"/>
        </w:rPr>
        <w:t>1</w:t>
      </w:r>
      <w:r>
        <w:rPr>
          <w:rFonts w:ascii="Arial" w:hAnsi="Arial" w:cs="Arial"/>
          <w:szCs w:val="24"/>
        </w:rPr>
        <w:t xml:space="preserve"> and the assurance levels achieved are stated in </w:t>
      </w:r>
      <w:r w:rsidR="00EE0192">
        <w:rPr>
          <w:rFonts w:ascii="Arial" w:hAnsi="Arial" w:cs="Arial"/>
          <w:szCs w:val="24"/>
        </w:rPr>
        <w:t>Table</w:t>
      </w:r>
      <w:r>
        <w:rPr>
          <w:rFonts w:ascii="Arial" w:hAnsi="Arial" w:cs="Arial"/>
          <w:szCs w:val="24"/>
        </w:rPr>
        <w:t xml:space="preserve"> </w:t>
      </w:r>
      <w:r w:rsidR="00715C1F">
        <w:rPr>
          <w:rFonts w:ascii="Arial" w:hAnsi="Arial" w:cs="Arial"/>
          <w:szCs w:val="24"/>
        </w:rPr>
        <w:t>7</w:t>
      </w:r>
      <w:r w:rsidR="00EE0192">
        <w:rPr>
          <w:rFonts w:ascii="Arial" w:hAnsi="Arial" w:cs="Arial"/>
          <w:szCs w:val="24"/>
        </w:rPr>
        <w:t xml:space="preserve"> below</w:t>
      </w:r>
      <w:r w:rsidR="00B64AAF">
        <w:rPr>
          <w:rFonts w:ascii="Arial" w:hAnsi="Arial" w:cs="Arial"/>
          <w:szCs w:val="24"/>
        </w:rPr>
        <w:t>:</w:t>
      </w:r>
    </w:p>
    <w:p w:rsidR="00EE0192" w:rsidRDefault="00EE0192" w:rsidP="009761B9">
      <w:pPr>
        <w:pStyle w:val="BodyTextIndent"/>
        <w:ind w:left="709" w:hanging="709"/>
        <w:rPr>
          <w:rFonts w:ascii="Arial" w:hAnsi="Arial" w:cs="Arial"/>
          <w:szCs w:val="24"/>
        </w:rPr>
      </w:pPr>
    </w:p>
    <w:p w:rsidR="001118AC" w:rsidRPr="00715C1F" w:rsidRDefault="007A7322" w:rsidP="007A7322">
      <w:pPr>
        <w:ind w:right="-334"/>
        <w:rPr>
          <w:rFonts w:ascii="Arial" w:hAnsi="Arial" w:cs="Arial"/>
          <w:b/>
          <w:sz w:val="24"/>
          <w:szCs w:val="24"/>
          <w:u w:val="single"/>
        </w:rPr>
      </w:pPr>
      <w:r w:rsidRPr="00715C1F">
        <w:rPr>
          <w:rFonts w:ascii="Arial" w:hAnsi="Arial" w:cs="Arial"/>
          <w:b/>
          <w:sz w:val="24"/>
          <w:szCs w:val="24"/>
          <w:u w:val="single"/>
        </w:rPr>
        <w:t xml:space="preserve">Table </w:t>
      </w:r>
      <w:r w:rsidR="00715C1F" w:rsidRPr="00715C1F">
        <w:rPr>
          <w:rFonts w:ascii="Arial" w:hAnsi="Arial" w:cs="Arial"/>
          <w:b/>
          <w:sz w:val="24"/>
          <w:szCs w:val="24"/>
          <w:u w:val="single"/>
        </w:rPr>
        <w:t>7</w:t>
      </w:r>
      <w:r w:rsidRPr="00715C1F">
        <w:rPr>
          <w:rFonts w:ascii="Arial" w:hAnsi="Arial" w:cs="Arial"/>
          <w:b/>
          <w:sz w:val="24"/>
          <w:szCs w:val="24"/>
          <w:u w:val="single"/>
        </w:rPr>
        <w:t xml:space="preserve">: </w:t>
      </w:r>
      <w:r w:rsidR="001118AC" w:rsidRPr="00715C1F">
        <w:rPr>
          <w:rFonts w:ascii="Arial" w:hAnsi="Arial" w:cs="Arial"/>
          <w:b/>
          <w:sz w:val="24"/>
          <w:szCs w:val="24"/>
          <w:u w:val="single"/>
        </w:rPr>
        <w:t xml:space="preserve">Summary of Internal Audit </w:t>
      </w:r>
      <w:r w:rsidR="008C0B72" w:rsidRPr="00715C1F">
        <w:rPr>
          <w:rFonts w:ascii="Arial" w:hAnsi="Arial" w:cs="Arial"/>
          <w:b/>
          <w:sz w:val="24"/>
          <w:szCs w:val="24"/>
          <w:u w:val="single"/>
        </w:rPr>
        <w:t xml:space="preserve">Planned </w:t>
      </w:r>
      <w:r w:rsidR="001118AC" w:rsidRPr="00715C1F">
        <w:rPr>
          <w:rFonts w:ascii="Arial" w:hAnsi="Arial" w:cs="Arial"/>
          <w:b/>
          <w:sz w:val="24"/>
          <w:szCs w:val="24"/>
          <w:u w:val="single"/>
        </w:rPr>
        <w:t xml:space="preserve">Review Findings </w:t>
      </w:r>
    </w:p>
    <w:p w:rsidR="001118AC" w:rsidRPr="001118AC" w:rsidRDefault="001118AC" w:rsidP="001118AC">
      <w:pPr>
        <w:ind w:right="-334"/>
        <w:jc w:val="center"/>
        <w:rPr>
          <w:rFonts w:ascii="Arial" w:hAnsi="Arial" w:cs="Arial"/>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2628"/>
        <w:gridCol w:w="2188"/>
        <w:gridCol w:w="4292"/>
      </w:tblGrid>
      <w:tr w:rsidR="001118AC" w:rsidRPr="001118AC" w:rsidTr="001118AC">
        <w:tc>
          <w:tcPr>
            <w:tcW w:w="2628" w:type="dxa"/>
            <w:tcBorders>
              <w:top w:val="single" w:sz="4" w:space="0" w:color="auto"/>
              <w:left w:val="single" w:sz="4" w:space="0" w:color="auto"/>
              <w:bottom w:val="single" w:sz="4" w:space="0" w:color="auto"/>
              <w:right w:val="single" w:sz="4" w:space="0" w:color="auto"/>
            </w:tcBorders>
            <w:hideMark/>
          </w:tcPr>
          <w:p w:rsidR="001118AC" w:rsidRPr="00715C1F" w:rsidRDefault="001118AC">
            <w:pPr>
              <w:ind w:right="-334"/>
              <w:rPr>
                <w:rFonts w:ascii="Arial" w:hAnsi="Arial" w:cs="Arial"/>
                <w:sz w:val="24"/>
                <w:szCs w:val="24"/>
              </w:rPr>
            </w:pPr>
            <w:r w:rsidRPr="00715C1F">
              <w:rPr>
                <w:rFonts w:ascii="Arial" w:hAnsi="Arial" w:cs="Arial"/>
                <w:sz w:val="24"/>
                <w:szCs w:val="24"/>
              </w:rPr>
              <w:t>Review</w:t>
            </w:r>
          </w:p>
        </w:tc>
        <w:tc>
          <w:tcPr>
            <w:tcW w:w="2188" w:type="dxa"/>
            <w:tcBorders>
              <w:top w:val="single" w:sz="4" w:space="0" w:color="auto"/>
              <w:left w:val="single" w:sz="4" w:space="0" w:color="auto"/>
              <w:bottom w:val="single" w:sz="4" w:space="0" w:color="auto"/>
              <w:right w:val="single" w:sz="4" w:space="0" w:color="auto"/>
            </w:tcBorders>
            <w:hideMark/>
          </w:tcPr>
          <w:p w:rsidR="001118AC" w:rsidRPr="00715C1F" w:rsidRDefault="001118AC">
            <w:pPr>
              <w:ind w:left="-288" w:right="-114" w:firstLine="288"/>
              <w:rPr>
                <w:rFonts w:ascii="Arial" w:hAnsi="Arial" w:cs="Arial"/>
                <w:sz w:val="24"/>
                <w:szCs w:val="24"/>
              </w:rPr>
            </w:pPr>
            <w:r w:rsidRPr="00715C1F">
              <w:rPr>
                <w:rFonts w:ascii="Arial" w:hAnsi="Arial" w:cs="Arial"/>
                <w:sz w:val="24"/>
                <w:szCs w:val="24"/>
              </w:rPr>
              <w:t>Assurance Level</w:t>
            </w:r>
          </w:p>
        </w:tc>
        <w:tc>
          <w:tcPr>
            <w:tcW w:w="4292" w:type="dxa"/>
            <w:tcBorders>
              <w:top w:val="single" w:sz="4" w:space="0" w:color="auto"/>
              <w:left w:val="single" w:sz="4" w:space="0" w:color="auto"/>
              <w:bottom w:val="single" w:sz="4" w:space="0" w:color="auto"/>
              <w:right w:val="single" w:sz="4" w:space="0" w:color="auto"/>
            </w:tcBorders>
          </w:tcPr>
          <w:p w:rsidR="001118AC" w:rsidRPr="00715C1F" w:rsidRDefault="001118AC">
            <w:pPr>
              <w:ind w:right="-334"/>
              <w:rPr>
                <w:rFonts w:ascii="Arial" w:hAnsi="Arial" w:cs="Arial"/>
                <w:sz w:val="24"/>
                <w:szCs w:val="24"/>
              </w:rPr>
            </w:pPr>
            <w:r w:rsidRPr="00715C1F">
              <w:rPr>
                <w:rFonts w:ascii="Arial" w:hAnsi="Arial" w:cs="Arial"/>
                <w:sz w:val="24"/>
                <w:szCs w:val="24"/>
              </w:rPr>
              <w:t>Summary of Findings</w:t>
            </w:r>
          </w:p>
          <w:p w:rsidR="001118AC" w:rsidRPr="00715C1F" w:rsidRDefault="001118AC">
            <w:pPr>
              <w:ind w:right="-334"/>
              <w:jc w:val="center"/>
              <w:rPr>
                <w:rFonts w:ascii="Arial" w:hAnsi="Arial" w:cs="Arial"/>
                <w:sz w:val="24"/>
                <w:szCs w:val="24"/>
              </w:rPr>
            </w:pPr>
          </w:p>
        </w:tc>
      </w:tr>
      <w:tr w:rsidR="001118AC" w:rsidRPr="001118AC" w:rsidTr="001118AC">
        <w:tc>
          <w:tcPr>
            <w:tcW w:w="2628" w:type="dxa"/>
            <w:tcBorders>
              <w:top w:val="single" w:sz="4" w:space="0" w:color="auto"/>
              <w:left w:val="single" w:sz="4" w:space="0" w:color="auto"/>
              <w:bottom w:val="single" w:sz="4" w:space="0" w:color="auto"/>
              <w:right w:val="single" w:sz="4" w:space="0" w:color="auto"/>
            </w:tcBorders>
          </w:tcPr>
          <w:p w:rsidR="001118AC" w:rsidRPr="001118AC" w:rsidRDefault="00715C1F">
            <w:pPr>
              <w:ind w:right="-334"/>
              <w:rPr>
                <w:rFonts w:ascii="Arial" w:hAnsi="Arial" w:cs="Arial"/>
                <w:sz w:val="24"/>
                <w:szCs w:val="24"/>
              </w:rPr>
            </w:pPr>
            <w:r>
              <w:rPr>
                <w:rFonts w:ascii="Arial" w:hAnsi="Arial" w:cs="Arial"/>
                <w:sz w:val="24"/>
                <w:szCs w:val="24"/>
              </w:rPr>
              <w:t>Purchasing Arrangements</w:t>
            </w:r>
            <w:r w:rsidR="001118AC" w:rsidRPr="001118AC">
              <w:rPr>
                <w:rFonts w:ascii="Arial" w:hAnsi="Arial" w:cs="Arial"/>
                <w:sz w:val="24"/>
                <w:szCs w:val="24"/>
              </w:rPr>
              <w:t xml:space="preserve"> </w:t>
            </w:r>
          </w:p>
          <w:p w:rsidR="001118AC" w:rsidRPr="001118AC" w:rsidRDefault="001118AC">
            <w:pPr>
              <w:ind w:right="-334"/>
              <w:rPr>
                <w:rFonts w:ascii="Arial" w:hAnsi="Arial" w:cs="Arial"/>
                <w:sz w:val="24"/>
                <w:szCs w:val="24"/>
              </w:rPr>
            </w:pPr>
          </w:p>
        </w:tc>
        <w:tc>
          <w:tcPr>
            <w:tcW w:w="2188" w:type="dxa"/>
            <w:tcBorders>
              <w:top w:val="single" w:sz="4" w:space="0" w:color="auto"/>
              <w:left w:val="single" w:sz="4" w:space="0" w:color="auto"/>
              <w:bottom w:val="single" w:sz="4" w:space="0" w:color="auto"/>
              <w:right w:val="single" w:sz="4" w:space="0" w:color="auto"/>
            </w:tcBorders>
            <w:hideMark/>
          </w:tcPr>
          <w:p w:rsidR="001118AC" w:rsidRPr="001118AC" w:rsidRDefault="001118AC">
            <w:pPr>
              <w:ind w:right="72"/>
              <w:jc w:val="center"/>
              <w:rPr>
                <w:rFonts w:ascii="Arial" w:hAnsi="Arial" w:cs="Arial"/>
                <w:sz w:val="24"/>
                <w:szCs w:val="24"/>
              </w:rPr>
            </w:pPr>
            <w:r w:rsidRPr="001118AC">
              <w:rPr>
                <w:rFonts w:ascii="Arial" w:hAnsi="Arial" w:cs="Arial"/>
                <w:sz w:val="24"/>
                <w:szCs w:val="24"/>
              </w:rPr>
              <w:t>Excellent</w:t>
            </w:r>
          </w:p>
        </w:tc>
        <w:tc>
          <w:tcPr>
            <w:tcW w:w="4292" w:type="dxa"/>
            <w:tcBorders>
              <w:top w:val="single" w:sz="4" w:space="0" w:color="auto"/>
              <w:left w:val="single" w:sz="4" w:space="0" w:color="auto"/>
              <w:bottom w:val="single" w:sz="4" w:space="0" w:color="auto"/>
              <w:right w:val="single" w:sz="4" w:space="0" w:color="auto"/>
            </w:tcBorders>
          </w:tcPr>
          <w:p w:rsidR="001118AC" w:rsidRPr="001118AC" w:rsidRDefault="001118AC">
            <w:pPr>
              <w:ind w:right="72"/>
              <w:rPr>
                <w:rFonts w:ascii="Arial" w:hAnsi="Arial" w:cs="Arial"/>
                <w:sz w:val="24"/>
                <w:szCs w:val="24"/>
              </w:rPr>
            </w:pPr>
            <w:r w:rsidRPr="001118AC">
              <w:rPr>
                <w:rFonts w:ascii="Arial" w:hAnsi="Arial" w:cs="Arial"/>
                <w:sz w:val="24"/>
                <w:szCs w:val="24"/>
              </w:rPr>
              <w:t>No issues were raised</w:t>
            </w:r>
          </w:p>
          <w:p w:rsidR="001118AC" w:rsidRPr="001118AC" w:rsidRDefault="001118AC">
            <w:pPr>
              <w:ind w:right="72"/>
              <w:rPr>
                <w:rFonts w:ascii="Arial" w:hAnsi="Arial" w:cs="Arial"/>
                <w:sz w:val="24"/>
                <w:szCs w:val="24"/>
              </w:rPr>
            </w:pPr>
          </w:p>
        </w:tc>
      </w:tr>
      <w:tr w:rsidR="001118AC" w:rsidRPr="001118AC" w:rsidTr="001118AC">
        <w:tc>
          <w:tcPr>
            <w:tcW w:w="2628" w:type="dxa"/>
            <w:tcBorders>
              <w:top w:val="single" w:sz="4" w:space="0" w:color="auto"/>
              <w:left w:val="single" w:sz="4" w:space="0" w:color="auto"/>
              <w:bottom w:val="single" w:sz="4" w:space="0" w:color="auto"/>
              <w:right w:val="single" w:sz="4" w:space="0" w:color="auto"/>
            </w:tcBorders>
            <w:hideMark/>
          </w:tcPr>
          <w:p w:rsidR="001118AC" w:rsidRPr="001118AC" w:rsidRDefault="00715C1F" w:rsidP="002B6B8C">
            <w:pPr>
              <w:ind w:right="-334"/>
              <w:rPr>
                <w:rFonts w:ascii="Arial" w:hAnsi="Arial" w:cs="Arial"/>
                <w:sz w:val="24"/>
                <w:szCs w:val="24"/>
              </w:rPr>
            </w:pPr>
            <w:r>
              <w:rPr>
                <w:rFonts w:ascii="Arial" w:hAnsi="Arial" w:cs="Arial"/>
                <w:sz w:val="24"/>
                <w:szCs w:val="24"/>
              </w:rPr>
              <w:t>Payroll</w:t>
            </w:r>
            <w:r w:rsidR="002B6B8C">
              <w:rPr>
                <w:rFonts w:ascii="Arial" w:hAnsi="Arial" w:cs="Arial"/>
                <w:sz w:val="24"/>
                <w:szCs w:val="24"/>
              </w:rPr>
              <w:t xml:space="preserve">  </w:t>
            </w:r>
          </w:p>
        </w:tc>
        <w:tc>
          <w:tcPr>
            <w:tcW w:w="2188" w:type="dxa"/>
            <w:tcBorders>
              <w:top w:val="single" w:sz="4" w:space="0" w:color="auto"/>
              <w:left w:val="single" w:sz="4" w:space="0" w:color="auto"/>
              <w:bottom w:val="single" w:sz="4" w:space="0" w:color="auto"/>
              <w:right w:val="single" w:sz="4" w:space="0" w:color="auto"/>
            </w:tcBorders>
            <w:hideMark/>
          </w:tcPr>
          <w:p w:rsidR="001118AC" w:rsidRPr="001118AC" w:rsidRDefault="002B0FCE">
            <w:pPr>
              <w:jc w:val="center"/>
              <w:rPr>
                <w:rFonts w:ascii="Arial" w:hAnsi="Arial" w:cs="Arial"/>
                <w:sz w:val="24"/>
                <w:szCs w:val="24"/>
              </w:rPr>
            </w:pPr>
            <w:r>
              <w:rPr>
                <w:rFonts w:ascii="Arial" w:hAnsi="Arial" w:cs="Arial"/>
                <w:sz w:val="24"/>
                <w:szCs w:val="24"/>
              </w:rPr>
              <w:t>Excellent</w:t>
            </w:r>
          </w:p>
        </w:tc>
        <w:tc>
          <w:tcPr>
            <w:tcW w:w="4292" w:type="dxa"/>
            <w:tcBorders>
              <w:top w:val="single" w:sz="4" w:space="0" w:color="auto"/>
              <w:left w:val="single" w:sz="4" w:space="0" w:color="auto"/>
              <w:bottom w:val="single" w:sz="4" w:space="0" w:color="auto"/>
              <w:right w:val="single" w:sz="4" w:space="0" w:color="auto"/>
            </w:tcBorders>
          </w:tcPr>
          <w:p w:rsidR="001118AC" w:rsidRDefault="002B0FCE" w:rsidP="002B0FCE">
            <w:pPr>
              <w:ind w:right="72"/>
              <w:rPr>
                <w:rFonts w:ascii="Arial" w:hAnsi="Arial" w:cs="Arial"/>
                <w:sz w:val="24"/>
                <w:szCs w:val="24"/>
              </w:rPr>
            </w:pPr>
            <w:r>
              <w:rPr>
                <w:rFonts w:ascii="Arial" w:hAnsi="Arial" w:cs="Arial"/>
                <w:sz w:val="24"/>
                <w:szCs w:val="24"/>
              </w:rPr>
              <w:t>No issues were raised</w:t>
            </w:r>
          </w:p>
          <w:p w:rsidR="002B0FCE" w:rsidRPr="001118AC" w:rsidRDefault="002B0FCE" w:rsidP="002B0FCE">
            <w:pPr>
              <w:ind w:right="72"/>
              <w:rPr>
                <w:rFonts w:ascii="Arial" w:hAnsi="Arial" w:cs="Arial"/>
                <w:sz w:val="24"/>
                <w:szCs w:val="24"/>
              </w:rPr>
            </w:pPr>
          </w:p>
        </w:tc>
      </w:tr>
      <w:tr w:rsidR="001118AC" w:rsidRPr="001118AC" w:rsidTr="001118AC">
        <w:tc>
          <w:tcPr>
            <w:tcW w:w="2628" w:type="dxa"/>
            <w:tcBorders>
              <w:top w:val="single" w:sz="4" w:space="0" w:color="auto"/>
              <w:left w:val="single" w:sz="4" w:space="0" w:color="auto"/>
              <w:bottom w:val="single" w:sz="4" w:space="0" w:color="auto"/>
              <w:right w:val="single" w:sz="4" w:space="0" w:color="auto"/>
            </w:tcBorders>
          </w:tcPr>
          <w:p w:rsidR="001118AC" w:rsidRPr="001118AC" w:rsidRDefault="00715C1F">
            <w:pPr>
              <w:rPr>
                <w:rFonts w:ascii="Arial" w:hAnsi="Arial" w:cs="Arial"/>
                <w:sz w:val="24"/>
                <w:szCs w:val="24"/>
              </w:rPr>
            </w:pPr>
            <w:r>
              <w:rPr>
                <w:rFonts w:ascii="Arial" w:hAnsi="Arial" w:cs="Arial"/>
                <w:sz w:val="24"/>
                <w:szCs w:val="24"/>
              </w:rPr>
              <w:t>IT Ordering</w:t>
            </w:r>
          </w:p>
          <w:p w:rsidR="001118AC" w:rsidRPr="001118AC" w:rsidRDefault="001118AC">
            <w:pPr>
              <w:ind w:right="-334"/>
              <w:rPr>
                <w:rFonts w:ascii="Arial" w:hAnsi="Arial" w:cs="Arial"/>
                <w:sz w:val="24"/>
                <w:szCs w:val="24"/>
              </w:rPr>
            </w:pPr>
          </w:p>
        </w:tc>
        <w:tc>
          <w:tcPr>
            <w:tcW w:w="2188" w:type="dxa"/>
            <w:tcBorders>
              <w:top w:val="single" w:sz="4" w:space="0" w:color="auto"/>
              <w:left w:val="single" w:sz="4" w:space="0" w:color="auto"/>
              <w:bottom w:val="single" w:sz="4" w:space="0" w:color="auto"/>
              <w:right w:val="single" w:sz="4" w:space="0" w:color="auto"/>
            </w:tcBorders>
            <w:hideMark/>
          </w:tcPr>
          <w:p w:rsidR="001118AC" w:rsidRPr="001118AC" w:rsidRDefault="00126EB9">
            <w:pPr>
              <w:ind w:right="66"/>
              <w:jc w:val="center"/>
              <w:rPr>
                <w:rFonts w:ascii="Arial" w:hAnsi="Arial" w:cs="Arial"/>
                <w:sz w:val="24"/>
                <w:szCs w:val="24"/>
              </w:rPr>
            </w:pPr>
            <w:r>
              <w:rPr>
                <w:rFonts w:ascii="Arial" w:hAnsi="Arial" w:cs="Arial"/>
                <w:sz w:val="24"/>
                <w:szCs w:val="24"/>
              </w:rPr>
              <w:t>Excellent</w:t>
            </w:r>
          </w:p>
        </w:tc>
        <w:tc>
          <w:tcPr>
            <w:tcW w:w="4292" w:type="dxa"/>
            <w:tcBorders>
              <w:top w:val="single" w:sz="4" w:space="0" w:color="auto"/>
              <w:left w:val="single" w:sz="4" w:space="0" w:color="auto"/>
              <w:bottom w:val="single" w:sz="4" w:space="0" w:color="auto"/>
              <w:right w:val="single" w:sz="4" w:space="0" w:color="auto"/>
            </w:tcBorders>
            <w:hideMark/>
          </w:tcPr>
          <w:p w:rsidR="00126EB9" w:rsidRPr="001118AC" w:rsidRDefault="00126EB9" w:rsidP="00126EB9">
            <w:pPr>
              <w:ind w:right="72"/>
              <w:rPr>
                <w:rFonts w:ascii="Arial" w:hAnsi="Arial" w:cs="Arial"/>
                <w:sz w:val="24"/>
                <w:szCs w:val="24"/>
              </w:rPr>
            </w:pPr>
            <w:r w:rsidRPr="001118AC">
              <w:rPr>
                <w:rFonts w:ascii="Arial" w:hAnsi="Arial" w:cs="Arial"/>
                <w:sz w:val="24"/>
                <w:szCs w:val="24"/>
              </w:rPr>
              <w:t>No issues were raised</w:t>
            </w:r>
          </w:p>
          <w:p w:rsidR="001118AC" w:rsidRPr="001118AC" w:rsidRDefault="001118AC">
            <w:pPr>
              <w:rPr>
                <w:rFonts w:ascii="Arial" w:hAnsi="Arial" w:cs="Arial"/>
                <w:sz w:val="24"/>
                <w:szCs w:val="24"/>
              </w:rPr>
            </w:pPr>
          </w:p>
        </w:tc>
      </w:tr>
    </w:tbl>
    <w:p w:rsidR="00940469" w:rsidRDefault="00940469" w:rsidP="00940469">
      <w:pPr>
        <w:pStyle w:val="BodyTextIndent"/>
        <w:ind w:left="0"/>
        <w:rPr>
          <w:rFonts w:ascii="Arial" w:hAnsi="Arial" w:cs="Arial"/>
          <w:szCs w:val="24"/>
        </w:rPr>
      </w:pPr>
    </w:p>
    <w:p w:rsidR="005A66ED" w:rsidRDefault="008F2CBC" w:rsidP="00715C1F">
      <w:pPr>
        <w:pStyle w:val="BodyTextIndent"/>
        <w:ind w:left="0"/>
        <w:rPr>
          <w:rFonts w:ascii="Arial" w:hAnsi="Arial" w:cs="Arial"/>
          <w:szCs w:val="24"/>
        </w:rPr>
      </w:pPr>
      <w:r>
        <w:rPr>
          <w:rFonts w:ascii="Arial" w:hAnsi="Arial" w:cs="Arial"/>
          <w:szCs w:val="24"/>
        </w:rPr>
        <w:t xml:space="preserve"> </w:t>
      </w:r>
    </w:p>
    <w:p w:rsidR="001A4B53" w:rsidRDefault="0039677F"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20</w:t>
      </w:r>
      <w:r>
        <w:rPr>
          <w:rFonts w:ascii="Arial" w:hAnsi="Arial" w:cs="Arial"/>
          <w:szCs w:val="24"/>
        </w:rPr>
        <w:tab/>
        <w:t xml:space="preserve">Therefore, </w:t>
      </w:r>
      <w:r w:rsidR="00715C1F">
        <w:rPr>
          <w:rFonts w:ascii="Arial" w:hAnsi="Arial" w:cs="Arial"/>
          <w:szCs w:val="24"/>
        </w:rPr>
        <w:t>100</w:t>
      </w:r>
      <w:r>
        <w:rPr>
          <w:rFonts w:ascii="Arial" w:hAnsi="Arial" w:cs="Arial"/>
          <w:szCs w:val="24"/>
        </w:rPr>
        <w:t xml:space="preserve"> per cent of the reviews have achieved at least a satisfactory standard</w:t>
      </w:r>
      <w:r w:rsidR="00A61801">
        <w:rPr>
          <w:rFonts w:ascii="Arial" w:hAnsi="Arial" w:cs="Arial"/>
          <w:szCs w:val="24"/>
        </w:rPr>
        <w:t xml:space="preserve"> (</w:t>
      </w:r>
      <w:r w:rsidR="00E40723">
        <w:rPr>
          <w:rFonts w:ascii="Arial" w:hAnsi="Arial" w:cs="Arial"/>
          <w:szCs w:val="24"/>
        </w:rPr>
        <w:t>9</w:t>
      </w:r>
      <w:r w:rsidR="00715C1F">
        <w:rPr>
          <w:rFonts w:ascii="Arial" w:hAnsi="Arial" w:cs="Arial"/>
          <w:szCs w:val="24"/>
        </w:rPr>
        <w:t>5</w:t>
      </w:r>
      <w:r w:rsidR="005A66ED">
        <w:rPr>
          <w:rFonts w:ascii="Arial" w:hAnsi="Arial" w:cs="Arial"/>
          <w:szCs w:val="24"/>
        </w:rPr>
        <w:t>% in 201</w:t>
      </w:r>
      <w:r w:rsidR="00715C1F">
        <w:rPr>
          <w:rFonts w:ascii="Arial" w:hAnsi="Arial" w:cs="Arial"/>
          <w:szCs w:val="24"/>
        </w:rPr>
        <w:t>9</w:t>
      </w:r>
      <w:r w:rsidR="00B869CF">
        <w:rPr>
          <w:rFonts w:ascii="Arial" w:hAnsi="Arial" w:cs="Arial"/>
          <w:szCs w:val="24"/>
        </w:rPr>
        <w:t>/20</w:t>
      </w:r>
      <w:r w:rsidR="00715C1F">
        <w:rPr>
          <w:rFonts w:ascii="Arial" w:hAnsi="Arial" w:cs="Arial"/>
          <w:szCs w:val="24"/>
        </w:rPr>
        <w:t>20</w:t>
      </w:r>
      <w:r w:rsidR="005A66ED">
        <w:rPr>
          <w:rFonts w:ascii="Arial" w:hAnsi="Arial" w:cs="Arial"/>
          <w:szCs w:val="24"/>
        </w:rPr>
        <w:t xml:space="preserve"> and </w:t>
      </w:r>
      <w:r w:rsidR="00715C1F">
        <w:rPr>
          <w:rFonts w:ascii="Arial" w:hAnsi="Arial" w:cs="Arial"/>
          <w:szCs w:val="24"/>
        </w:rPr>
        <w:t>97</w:t>
      </w:r>
      <w:r w:rsidR="00AD20B4">
        <w:rPr>
          <w:rFonts w:ascii="Arial" w:hAnsi="Arial" w:cs="Arial"/>
          <w:szCs w:val="24"/>
        </w:rPr>
        <w:t>% in 20</w:t>
      </w:r>
      <w:r w:rsidR="00715C1F">
        <w:rPr>
          <w:rFonts w:ascii="Arial" w:hAnsi="Arial" w:cs="Arial"/>
          <w:szCs w:val="24"/>
        </w:rPr>
        <w:t>18</w:t>
      </w:r>
      <w:r w:rsidR="00AD20B4">
        <w:rPr>
          <w:rFonts w:ascii="Arial" w:hAnsi="Arial" w:cs="Arial"/>
          <w:szCs w:val="24"/>
        </w:rPr>
        <w:t>/201</w:t>
      </w:r>
      <w:r w:rsidR="00715C1F">
        <w:rPr>
          <w:rFonts w:ascii="Arial" w:hAnsi="Arial" w:cs="Arial"/>
          <w:szCs w:val="24"/>
        </w:rPr>
        <w:t>9</w:t>
      </w:r>
      <w:r w:rsidR="00A61801">
        <w:rPr>
          <w:rFonts w:ascii="Arial" w:hAnsi="Arial" w:cs="Arial"/>
          <w:szCs w:val="24"/>
        </w:rPr>
        <w:t>)</w:t>
      </w:r>
      <w:r>
        <w:rPr>
          <w:rFonts w:ascii="Arial" w:hAnsi="Arial" w:cs="Arial"/>
          <w:szCs w:val="24"/>
        </w:rPr>
        <w:t xml:space="preserve">, with </w:t>
      </w:r>
      <w:r w:rsidR="00715C1F">
        <w:rPr>
          <w:rFonts w:ascii="Arial" w:hAnsi="Arial" w:cs="Arial"/>
          <w:szCs w:val="24"/>
        </w:rPr>
        <w:t>100</w:t>
      </w:r>
      <w:r>
        <w:rPr>
          <w:rFonts w:ascii="Arial" w:hAnsi="Arial" w:cs="Arial"/>
          <w:szCs w:val="24"/>
        </w:rPr>
        <w:t xml:space="preserve"> per cent achieving an excellent standard. </w:t>
      </w:r>
    </w:p>
    <w:p w:rsidR="00395BE1" w:rsidRDefault="00395BE1" w:rsidP="009761B9">
      <w:pPr>
        <w:pStyle w:val="BodyTextIndent"/>
        <w:ind w:hanging="720"/>
        <w:rPr>
          <w:rFonts w:ascii="Arial" w:hAnsi="Arial" w:cs="Arial"/>
          <w:szCs w:val="24"/>
        </w:rPr>
      </w:pPr>
    </w:p>
    <w:p w:rsidR="00395BE1" w:rsidRPr="00715C1F" w:rsidRDefault="00395BE1" w:rsidP="009761B9">
      <w:pPr>
        <w:pStyle w:val="BodyTextIndent"/>
        <w:ind w:hanging="720"/>
        <w:rPr>
          <w:rFonts w:ascii="Arial" w:hAnsi="Arial" w:cs="Arial"/>
          <w:b/>
          <w:szCs w:val="24"/>
          <w:u w:val="single"/>
        </w:rPr>
      </w:pPr>
      <w:r>
        <w:rPr>
          <w:rFonts w:ascii="Arial" w:hAnsi="Arial" w:cs="Arial"/>
          <w:szCs w:val="24"/>
        </w:rPr>
        <w:tab/>
      </w:r>
      <w:r w:rsidRPr="00715C1F">
        <w:rPr>
          <w:rFonts w:ascii="Arial" w:hAnsi="Arial" w:cs="Arial"/>
          <w:b/>
          <w:szCs w:val="24"/>
          <w:u w:val="single"/>
        </w:rPr>
        <w:t xml:space="preserve">Special Investigations </w:t>
      </w:r>
      <w:r w:rsidR="00DA1A6D" w:rsidRPr="00715C1F">
        <w:rPr>
          <w:rFonts w:ascii="Arial" w:hAnsi="Arial" w:cs="Arial"/>
          <w:b/>
          <w:szCs w:val="24"/>
          <w:u w:val="single"/>
        </w:rPr>
        <w:t xml:space="preserve">&amp; Consultancy Engagements </w:t>
      </w:r>
      <w:r w:rsidRPr="00715C1F">
        <w:rPr>
          <w:rFonts w:ascii="Arial" w:hAnsi="Arial" w:cs="Arial"/>
          <w:b/>
          <w:szCs w:val="24"/>
          <w:u w:val="single"/>
        </w:rPr>
        <w:t>Completed During 20</w:t>
      </w:r>
      <w:r w:rsidR="00715C1F" w:rsidRPr="00715C1F">
        <w:rPr>
          <w:rFonts w:ascii="Arial" w:hAnsi="Arial" w:cs="Arial"/>
          <w:b/>
          <w:szCs w:val="24"/>
          <w:u w:val="single"/>
        </w:rPr>
        <w:t>20</w:t>
      </w:r>
      <w:r w:rsidRPr="00715C1F">
        <w:rPr>
          <w:rFonts w:ascii="Arial" w:hAnsi="Arial" w:cs="Arial"/>
          <w:b/>
          <w:szCs w:val="24"/>
          <w:u w:val="single"/>
        </w:rPr>
        <w:t>/20</w:t>
      </w:r>
      <w:r w:rsidR="00E40723" w:rsidRPr="00715C1F">
        <w:rPr>
          <w:rFonts w:ascii="Arial" w:hAnsi="Arial" w:cs="Arial"/>
          <w:b/>
          <w:szCs w:val="24"/>
          <w:u w:val="single"/>
        </w:rPr>
        <w:t>2</w:t>
      </w:r>
      <w:r w:rsidR="00715C1F" w:rsidRPr="00715C1F">
        <w:rPr>
          <w:rFonts w:ascii="Arial" w:hAnsi="Arial" w:cs="Arial"/>
          <w:b/>
          <w:szCs w:val="24"/>
          <w:u w:val="single"/>
        </w:rPr>
        <w:t>1</w:t>
      </w:r>
      <w:r w:rsidRPr="00715C1F">
        <w:rPr>
          <w:rFonts w:ascii="Arial" w:hAnsi="Arial" w:cs="Arial"/>
          <w:b/>
          <w:szCs w:val="24"/>
          <w:u w:val="single"/>
        </w:rPr>
        <w:t xml:space="preserve"> </w:t>
      </w:r>
    </w:p>
    <w:p w:rsidR="005A66ED" w:rsidRDefault="005A66ED" w:rsidP="009761B9">
      <w:pPr>
        <w:pStyle w:val="BodyTextIndent"/>
        <w:ind w:hanging="720"/>
        <w:rPr>
          <w:rFonts w:ascii="Arial" w:hAnsi="Arial" w:cs="Arial"/>
          <w:szCs w:val="24"/>
        </w:rPr>
      </w:pPr>
    </w:p>
    <w:p w:rsidR="00F7175B" w:rsidRDefault="005A66ED" w:rsidP="0006200D">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21</w:t>
      </w:r>
      <w:r>
        <w:rPr>
          <w:rFonts w:ascii="Arial" w:hAnsi="Arial" w:cs="Arial"/>
          <w:szCs w:val="24"/>
        </w:rPr>
        <w:tab/>
      </w:r>
      <w:r w:rsidR="00F7175B">
        <w:rPr>
          <w:rFonts w:ascii="Arial" w:hAnsi="Arial" w:cs="Arial"/>
          <w:szCs w:val="24"/>
        </w:rPr>
        <w:t xml:space="preserve">Details of </w:t>
      </w:r>
      <w:r w:rsidR="001436A5">
        <w:rPr>
          <w:rFonts w:ascii="Arial" w:hAnsi="Arial" w:cs="Arial"/>
          <w:szCs w:val="24"/>
        </w:rPr>
        <w:t>the</w:t>
      </w:r>
      <w:r w:rsidR="00F7175B">
        <w:rPr>
          <w:rFonts w:ascii="Arial" w:hAnsi="Arial" w:cs="Arial"/>
          <w:szCs w:val="24"/>
        </w:rPr>
        <w:t xml:space="preserve"> special investigation</w:t>
      </w:r>
      <w:r w:rsidR="00282477">
        <w:rPr>
          <w:rFonts w:ascii="Arial" w:hAnsi="Arial" w:cs="Arial"/>
          <w:szCs w:val="24"/>
        </w:rPr>
        <w:t>s</w:t>
      </w:r>
      <w:r w:rsidR="00F7175B">
        <w:rPr>
          <w:rFonts w:ascii="Arial" w:hAnsi="Arial" w:cs="Arial"/>
          <w:szCs w:val="24"/>
        </w:rPr>
        <w:t xml:space="preserve"> </w:t>
      </w:r>
      <w:r w:rsidR="00DA1A6D">
        <w:rPr>
          <w:rFonts w:ascii="Arial" w:hAnsi="Arial" w:cs="Arial"/>
          <w:szCs w:val="24"/>
        </w:rPr>
        <w:t xml:space="preserve">and consultancy </w:t>
      </w:r>
      <w:r w:rsidR="007409A6">
        <w:rPr>
          <w:rFonts w:ascii="Arial" w:hAnsi="Arial" w:cs="Arial"/>
          <w:szCs w:val="24"/>
        </w:rPr>
        <w:t xml:space="preserve">engagements </w:t>
      </w:r>
      <w:r w:rsidR="00F7175B">
        <w:rPr>
          <w:rFonts w:ascii="Arial" w:hAnsi="Arial" w:cs="Arial"/>
          <w:szCs w:val="24"/>
        </w:rPr>
        <w:t>completed during 20</w:t>
      </w:r>
      <w:r w:rsidR="00715C1F">
        <w:rPr>
          <w:rFonts w:ascii="Arial" w:hAnsi="Arial" w:cs="Arial"/>
          <w:szCs w:val="24"/>
        </w:rPr>
        <w:t>20</w:t>
      </w:r>
      <w:r w:rsidR="00F7175B">
        <w:rPr>
          <w:rFonts w:ascii="Arial" w:hAnsi="Arial" w:cs="Arial"/>
          <w:szCs w:val="24"/>
        </w:rPr>
        <w:t>/20</w:t>
      </w:r>
      <w:r w:rsidR="00E40723">
        <w:rPr>
          <w:rFonts w:ascii="Arial" w:hAnsi="Arial" w:cs="Arial"/>
          <w:szCs w:val="24"/>
        </w:rPr>
        <w:t>2</w:t>
      </w:r>
      <w:r w:rsidR="00715C1F">
        <w:rPr>
          <w:rFonts w:ascii="Arial" w:hAnsi="Arial" w:cs="Arial"/>
          <w:szCs w:val="24"/>
        </w:rPr>
        <w:t>1</w:t>
      </w:r>
      <w:r w:rsidR="00F7175B">
        <w:rPr>
          <w:rFonts w:ascii="Arial" w:hAnsi="Arial" w:cs="Arial"/>
          <w:szCs w:val="24"/>
        </w:rPr>
        <w:t xml:space="preserve"> </w:t>
      </w:r>
      <w:r w:rsidR="00282477">
        <w:rPr>
          <w:rFonts w:ascii="Arial" w:hAnsi="Arial" w:cs="Arial"/>
          <w:szCs w:val="24"/>
        </w:rPr>
        <w:t>are</w:t>
      </w:r>
      <w:r w:rsidR="00F7175B">
        <w:rPr>
          <w:rFonts w:ascii="Arial" w:hAnsi="Arial" w:cs="Arial"/>
          <w:szCs w:val="24"/>
        </w:rPr>
        <w:t xml:space="preserve"> summarised in </w:t>
      </w:r>
      <w:r w:rsidR="001436A5">
        <w:rPr>
          <w:rFonts w:ascii="Arial" w:hAnsi="Arial" w:cs="Arial"/>
          <w:szCs w:val="24"/>
        </w:rPr>
        <w:t>Table</w:t>
      </w:r>
      <w:r w:rsidR="00F7175B">
        <w:rPr>
          <w:rFonts w:ascii="Arial" w:hAnsi="Arial" w:cs="Arial"/>
          <w:szCs w:val="24"/>
        </w:rPr>
        <w:t xml:space="preserve"> </w:t>
      </w:r>
      <w:r w:rsidR="00715C1F">
        <w:rPr>
          <w:rFonts w:ascii="Arial" w:hAnsi="Arial" w:cs="Arial"/>
          <w:szCs w:val="24"/>
        </w:rPr>
        <w:t>8</w:t>
      </w:r>
      <w:r w:rsidR="001436A5">
        <w:rPr>
          <w:rFonts w:ascii="Arial" w:hAnsi="Arial" w:cs="Arial"/>
          <w:szCs w:val="24"/>
        </w:rPr>
        <w:t xml:space="preserve"> below</w:t>
      </w:r>
      <w:r w:rsidR="00F7175B">
        <w:rPr>
          <w:rFonts w:ascii="Arial" w:hAnsi="Arial" w:cs="Arial"/>
          <w:szCs w:val="24"/>
        </w:rPr>
        <w:t xml:space="preserve">. </w:t>
      </w:r>
    </w:p>
    <w:p w:rsidR="008F6852" w:rsidRDefault="008F6852" w:rsidP="009761B9">
      <w:pPr>
        <w:pStyle w:val="BodyTextIndent"/>
        <w:ind w:hanging="720"/>
        <w:rPr>
          <w:rFonts w:ascii="Arial" w:hAnsi="Arial" w:cs="Arial"/>
          <w:szCs w:val="24"/>
        </w:rPr>
      </w:pPr>
    </w:p>
    <w:p w:rsidR="007C0A62" w:rsidRPr="00715C1F" w:rsidRDefault="008963DB" w:rsidP="00715C1F">
      <w:pPr>
        <w:ind w:right="418"/>
        <w:rPr>
          <w:rFonts w:ascii="Arial" w:hAnsi="Arial" w:cs="Arial"/>
          <w:b/>
          <w:sz w:val="24"/>
          <w:szCs w:val="24"/>
        </w:rPr>
      </w:pPr>
      <w:r w:rsidRPr="00715C1F">
        <w:rPr>
          <w:rFonts w:ascii="Arial" w:hAnsi="Arial" w:cs="Arial"/>
          <w:b/>
          <w:sz w:val="24"/>
          <w:szCs w:val="24"/>
          <w:u w:val="single"/>
        </w:rPr>
        <w:t xml:space="preserve">Table </w:t>
      </w:r>
      <w:r w:rsidR="00715C1F" w:rsidRPr="00715C1F">
        <w:rPr>
          <w:rFonts w:ascii="Arial" w:hAnsi="Arial" w:cs="Arial"/>
          <w:b/>
          <w:sz w:val="24"/>
          <w:szCs w:val="24"/>
          <w:u w:val="single"/>
        </w:rPr>
        <w:t>8</w:t>
      </w:r>
      <w:r w:rsidR="001436A5" w:rsidRPr="00715C1F">
        <w:rPr>
          <w:rFonts w:ascii="Arial" w:hAnsi="Arial" w:cs="Arial"/>
          <w:b/>
          <w:sz w:val="24"/>
          <w:szCs w:val="24"/>
          <w:u w:val="single"/>
        </w:rPr>
        <w:t xml:space="preserve">: </w:t>
      </w:r>
      <w:r w:rsidR="007C0A62" w:rsidRPr="00715C1F">
        <w:rPr>
          <w:rFonts w:ascii="Arial" w:hAnsi="Arial" w:cs="Arial"/>
          <w:b/>
          <w:sz w:val="24"/>
          <w:szCs w:val="24"/>
          <w:u w:val="single"/>
        </w:rPr>
        <w:t>Completed Internal Audit Special Investigation</w:t>
      </w:r>
      <w:r w:rsidR="00A02930" w:rsidRPr="00715C1F">
        <w:rPr>
          <w:rFonts w:ascii="Arial" w:hAnsi="Arial" w:cs="Arial"/>
          <w:b/>
          <w:sz w:val="24"/>
          <w:szCs w:val="24"/>
          <w:u w:val="single"/>
        </w:rPr>
        <w:t>s</w:t>
      </w:r>
      <w:r w:rsidR="00DA1A6D" w:rsidRPr="00715C1F">
        <w:rPr>
          <w:rFonts w:ascii="Arial" w:hAnsi="Arial" w:cs="Arial"/>
          <w:b/>
          <w:sz w:val="24"/>
          <w:szCs w:val="24"/>
          <w:u w:val="single"/>
        </w:rPr>
        <w:t xml:space="preserve"> &amp; Consultancy Engagements</w:t>
      </w:r>
    </w:p>
    <w:p w:rsidR="007C0A62" w:rsidRPr="007C0A62" w:rsidRDefault="007C0A62" w:rsidP="007C0A62">
      <w:pPr>
        <w:ind w:right="-334"/>
        <w:jc w:val="center"/>
        <w:rPr>
          <w:rFonts w:ascii="Arial" w:hAnsi="Arial" w:cs="Arial"/>
          <w:sz w:val="24"/>
          <w:szCs w:val="24"/>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3190"/>
        <w:gridCol w:w="923"/>
        <w:gridCol w:w="4954"/>
      </w:tblGrid>
      <w:tr w:rsidR="007C0A62" w:rsidRPr="007C0A62" w:rsidTr="00B2492D">
        <w:tc>
          <w:tcPr>
            <w:tcW w:w="1759" w:type="pct"/>
            <w:tcBorders>
              <w:top w:val="single" w:sz="4" w:space="0" w:color="auto"/>
              <w:left w:val="single" w:sz="4" w:space="0" w:color="auto"/>
              <w:bottom w:val="single" w:sz="4" w:space="0" w:color="auto"/>
              <w:right w:val="single" w:sz="4" w:space="0" w:color="auto"/>
            </w:tcBorders>
            <w:hideMark/>
          </w:tcPr>
          <w:p w:rsidR="007C0A62" w:rsidRPr="001436A5" w:rsidRDefault="007C0A62">
            <w:pPr>
              <w:ind w:right="-334"/>
              <w:rPr>
                <w:rFonts w:ascii="Arial" w:hAnsi="Arial" w:cs="Arial"/>
                <w:sz w:val="24"/>
                <w:szCs w:val="24"/>
              </w:rPr>
            </w:pPr>
            <w:r w:rsidRPr="001436A5">
              <w:rPr>
                <w:rFonts w:ascii="Arial" w:hAnsi="Arial" w:cs="Arial"/>
                <w:sz w:val="24"/>
                <w:szCs w:val="24"/>
              </w:rPr>
              <w:t>Investigation</w:t>
            </w:r>
            <w:r w:rsidR="00DA1A6D">
              <w:rPr>
                <w:rFonts w:ascii="Arial" w:hAnsi="Arial" w:cs="Arial"/>
                <w:sz w:val="24"/>
                <w:szCs w:val="24"/>
              </w:rPr>
              <w:t xml:space="preserve"> / Engagement</w:t>
            </w:r>
          </w:p>
        </w:tc>
        <w:tc>
          <w:tcPr>
            <w:tcW w:w="509" w:type="pct"/>
            <w:tcBorders>
              <w:top w:val="single" w:sz="4" w:space="0" w:color="auto"/>
              <w:left w:val="single" w:sz="4" w:space="0" w:color="auto"/>
              <w:bottom w:val="single" w:sz="4" w:space="0" w:color="auto"/>
              <w:right w:val="single" w:sz="4" w:space="0" w:color="auto"/>
            </w:tcBorders>
            <w:hideMark/>
          </w:tcPr>
          <w:p w:rsidR="007C0A62" w:rsidRDefault="007C0A62">
            <w:pPr>
              <w:ind w:right="-334"/>
              <w:rPr>
                <w:rFonts w:ascii="Arial" w:hAnsi="Arial" w:cs="Arial"/>
                <w:sz w:val="24"/>
                <w:szCs w:val="24"/>
              </w:rPr>
            </w:pPr>
            <w:r w:rsidRPr="001436A5">
              <w:rPr>
                <w:rFonts w:ascii="Arial" w:hAnsi="Arial" w:cs="Arial"/>
                <w:sz w:val="24"/>
                <w:szCs w:val="24"/>
              </w:rPr>
              <w:t>No of Days</w:t>
            </w:r>
          </w:p>
          <w:p w:rsidR="001436A5" w:rsidRPr="001436A5" w:rsidRDefault="001436A5">
            <w:pPr>
              <w:ind w:right="-334"/>
              <w:rPr>
                <w:rFonts w:ascii="Arial" w:hAnsi="Arial" w:cs="Arial"/>
                <w:sz w:val="24"/>
                <w:szCs w:val="24"/>
              </w:rPr>
            </w:pPr>
          </w:p>
        </w:tc>
        <w:tc>
          <w:tcPr>
            <w:tcW w:w="2732" w:type="pct"/>
            <w:tcBorders>
              <w:top w:val="single" w:sz="4" w:space="0" w:color="auto"/>
              <w:left w:val="single" w:sz="4" w:space="0" w:color="auto"/>
              <w:bottom w:val="single" w:sz="4" w:space="0" w:color="auto"/>
              <w:right w:val="single" w:sz="4" w:space="0" w:color="auto"/>
            </w:tcBorders>
          </w:tcPr>
          <w:p w:rsidR="007C0A62" w:rsidRPr="001436A5" w:rsidRDefault="007C0A62">
            <w:pPr>
              <w:ind w:right="-334"/>
              <w:rPr>
                <w:rFonts w:ascii="Arial" w:hAnsi="Arial" w:cs="Arial"/>
                <w:sz w:val="24"/>
                <w:szCs w:val="24"/>
              </w:rPr>
            </w:pPr>
            <w:r w:rsidRPr="001436A5">
              <w:rPr>
                <w:rFonts w:ascii="Arial" w:hAnsi="Arial" w:cs="Arial"/>
                <w:sz w:val="24"/>
                <w:szCs w:val="24"/>
              </w:rPr>
              <w:t>Summary of Findings</w:t>
            </w:r>
          </w:p>
          <w:p w:rsidR="007C0A62" w:rsidRPr="001436A5" w:rsidRDefault="007C0A62">
            <w:pPr>
              <w:ind w:right="-334"/>
              <w:jc w:val="center"/>
              <w:rPr>
                <w:rFonts w:ascii="Arial" w:hAnsi="Arial" w:cs="Arial"/>
                <w:sz w:val="24"/>
                <w:szCs w:val="24"/>
              </w:rPr>
            </w:pPr>
          </w:p>
        </w:tc>
      </w:tr>
      <w:tr w:rsidR="007C0A62" w:rsidRPr="007C0A62" w:rsidTr="00B2492D">
        <w:tc>
          <w:tcPr>
            <w:tcW w:w="1759" w:type="pct"/>
            <w:tcBorders>
              <w:top w:val="single" w:sz="4" w:space="0" w:color="auto"/>
              <w:left w:val="single" w:sz="4" w:space="0" w:color="auto"/>
              <w:bottom w:val="single" w:sz="4" w:space="0" w:color="auto"/>
              <w:right w:val="single" w:sz="4" w:space="0" w:color="auto"/>
            </w:tcBorders>
            <w:hideMark/>
          </w:tcPr>
          <w:p w:rsidR="007C0A62" w:rsidRDefault="00DA1A6D" w:rsidP="00604C5E">
            <w:pPr>
              <w:ind w:right="-334"/>
              <w:rPr>
                <w:rFonts w:ascii="Arial" w:hAnsi="Arial" w:cs="Arial"/>
                <w:sz w:val="24"/>
                <w:szCs w:val="24"/>
              </w:rPr>
            </w:pPr>
            <w:r>
              <w:rPr>
                <w:rFonts w:ascii="Arial" w:hAnsi="Arial" w:cs="Arial"/>
                <w:sz w:val="24"/>
                <w:szCs w:val="24"/>
              </w:rPr>
              <w:t xml:space="preserve">Investigation – </w:t>
            </w:r>
            <w:r w:rsidR="00604C5E">
              <w:rPr>
                <w:rFonts w:ascii="Arial" w:hAnsi="Arial" w:cs="Arial"/>
                <w:sz w:val="24"/>
                <w:szCs w:val="24"/>
              </w:rPr>
              <w:t>Town Centre Income Discrepancies</w:t>
            </w:r>
            <w:r w:rsidR="008E2458">
              <w:rPr>
                <w:rFonts w:ascii="Arial" w:hAnsi="Arial" w:cs="Arial"/>
                <w:sz w:val="24"/>
                <w:szCs w:val="24"/>
              </w:rPr>
              <w:t xml:space="preserve"> </w:t>
            </w:r>
          </w:p>
          <w:p w:rsidR="00031D45" w:rsidRPr="007C0A62" w:rsidRDefault="00031D45" w:rsidP="00604C5E">
            <w:pPr>
              <w:ind w:right="-334"/>
              <w:rPr>
                <w:rFonts w:ascii="Arial" w:hAnsi="Arial" w:cs="Arial"/>
                <w:sz w:val="24"/>
                <w:szCs w:val="24"/>
              </w:rPr>
            </w:pPr>
          </w:p>
        </w:tc>
        <w:tc>
          <w:tcPr>
            <w:tcW w:w="509" w:type="pct"/>
            <w:tcBorders>
              <w:top w:val="single" w:sz="4" w:space="0" w:color="auto"/>
              <w:left w:val="single" w:sz="4" w:space="0" w:color="auto"/>
              <w:bottom w:val="single" w:sz="4" w:space="0" w:color="auto"/>
              <w:right w:val="single" w:sz="4" w:space="0" w:color="auto"/>
            </w:tcBorders>
            <w:hideMark/>
          </w:tcPr>
          <w:p w:rsidR="007C0A62" w:rsidRPr="007C0A62" w:rsidRDefault="00B2492D">
            <w:pPr>
              <w:ind w:right="72"/>
              <w:jc w:val="center"/>
              <w:rPr>
                <w:rFonts w:ascii="Arial" w:hAnsi="Arial" w:cs="Arial"/>
                <w:sz w:val="24"/>
                <w:szCs w:val="24"/>
              </w:rPr>
            </w:pPr>
            <w:r>
              <w:rPr>
                <w:rFonts w:ascii="Arial" w:hAnsi="Arial" w:cs="Arial"/>
                <w:sz w:val="24"/>
                <w:szCs w:val="24"/>
              </w:rPr>
              <w:t>24.00</w:t>
            </w:r>
          </w:p>
        </w:tc>
        <w:tc>
          <w:tcPr>
            <w:tcW w:w="2732" w:type="pct"/>
            <w:tcBorders>
              <w:top w:val="single" w:sz="4" w:space="0" w:color="auto"/>
              <w:left w:val="single" w:sz="4" w:space="0" w:color="auto"/>
              <w:bottom w:val="single" w:sz="4" w:space="0" w:color="auto"/>
              <w:right w:val="single" w:sz="4" w:space="0" w:color="auto"/>
            </w:tcBorders>
          </w:tcPr>
          <w:p w:rsidR="001436A5" w:rsidRDefault="00B2492D" w:rsidP="00031D45">
            <w:pPr>
              <w:ind w:right="72"/>
              <w:rPr>
                <w:rFonts w:ascii="Arial" w:hAnsi="Arial" w:cs="Arial"/>
                <w:sz w:val="24"/>
                <w:szCs w:val="24"/>
              </w:rPr>
            </w:pPr>
            <w:r>
              <w:rPr>
                <w:rFonts w:ascii="Arial" w:hAnsi="Arial" w:cs="Arial"/>
                <w:sz w:val="24"/>
                <w:szCs w:val="24"/>
              </w:rPr>
              <w:t xml:space="preserve">Areas for improvement were identified in </w:t>
            </w:r>
            <w:r w:rsidR="008B1843">
              <w:rPr>
                <w:rFonts w:ascii="Arial" w:hAnsi="Arial" w:cs="Arial"/>
                <w:sz w:val="24"/>
                <w:szCs w:val="24"/>
              </w:rPr>
              <w:t xml:space="preserve">the </w:t>
            </w:r>
            <w:r>
              <w:rPr>
                <w:rFonts w:ascii="Arial" w:hAnsi="Arial" w:cs="Arial"/>
                <w:sz w:val="24"/>
                <w:szCs w:val="24"/>
              </w:rPr>
              <w:t xml:space="preserve">report issued to </w:t>
            </w:r>
            <w:r w:rsidR="008B1843">
              <w:rPr>
                <w:rFonts w:ascii="Arial" w:hAnsi="Arial" w:cs="Arial"/>
                <w:sz w:val="24"/>
                <w:szCs w:val="24"/>
              </w:rPr>
              <w:t xml:space="preserve">the </w:t>
            </w:r>
            <w:r>
              <w:rPr>
                <w:rFonts w:ascii="Arial" w:hAnsi="Arial" w:cs="Arial"/>
                <w:sz w:val="24"/>
                <w:szCs w:val="24"/>
              </w:rPr>
              <w:t>G</w:t>
            </w:r>
            <w:r w:rsidR="008B1843">
              <w:rPr>
                <w:rFonts w:ascii="Arial" w:hAnsi="Arial" w:cs="Arial"/>
                <w:sz w:val="24"/>
                <w:szCs w:val="24"/>
              </w:rPr>
              <w:t>overnance</w:t>
            </w:r>
            <w:r>
              <w:rPr>
                <w:rFonts w:ascii="Arial" w:hAnsi="Arial" w:cs="Arial"/>
                <w:sz w:val="24"/>
                <w:szCs w:val="24"/>
              </w:rPr>
              <w:t xml:space="preserve"> </w:t>
            </w:r>
            <w:r w:rsidR="008B1843">
              <w:rPr>
                <w:rFonts w:ascii="Arial" w:hAnsi="Arial" w:cs="Arial"/>
                <w:sz w:val="24"/>
                <w:szCs w:val="24"/>
              </w:rPr>
              <w:t>and</w:t>
            </w:r>
            <w:r>
              <w:rPr>
                <w:rFonts w:ascii="Arial" w:hAnsi="Arial" w:cs="Arial"/>
                <w:sz w:val="24"/>
                <w:szCs w:val="24"/>
              </w:rPr>
              <w:t xml:space="preserve"> S</w:t>
            </w:r>
            <w:r w:rsidR="008B1843">
              <w:rPr>
                <w:rFonts w:ascii="Arial" w:hAnsi="Arial" w:cs="Arial"/>
                <w:sz w:val="24"/>
                <w:szCs w:val="24"/>
              </w:rPr>
              <w:t>tandards</w:t>
            </w:r>
            <w:r>
              <w:rPr>
                <w:rFonts w:ascii="Arial" w:hAnsi="Arial" w:cs="Arial"/>
                <w:sz w:val="24"/>
                <w:szCs w:val="24"/>
              </w:rPr>
              <w:t xml:space="preserve"> Committee</w:t>
            </w:r>
          </w:p>
          <w:p w:rsidR="00B2492D" w:rsidRPr="007C0A62" w:rsidRDefault="00B2492D" w:rsidP="00031D45">
            <w:pPr>
              <w:ind w:right="72"/>
              <w:rPr>
                <w:rFonts w:ascii="Arial" w:hAnsi="Arial" w:cs="Arial"/>
                <w:sz w:val="24"/>
                <w:szCs w:val="24"/>
              </w:rPr>
            </w:pPr>
          </w:p>
        </w:tc>
      </w:tr>
    </w:tbl>
    <w:p w:rsidR="007C0A62" w:rsidRDefault="007C0A62" w:rsidP="009761B9">
      <w:pPr>
        <w:pStyle w:val="BodyTextIndent"/>
        <w:ind w:hanging="720"/>
        <w:rPr>
          <w:rFonts w:ascii="Arial" w:hAnsi="Arial" w:cs="Arial"/>
          <w:szCs w:val="24"/>
        </w:rPr>
      </w:pPr>
    </w:p>
    <w:p w:rsidR="00607C69" w:rsidRDefault="00607C69" w:rsidP="009761B9">
      <w:pPr>
        <w:pStyle w:val="BodyTextIndent"/>
        <w:ind w:hanging="720"/>
        <w:rPr>
          <w:rFonts w:ascii="Arial" w:hAnsi="Arial" w:cs="Arial"/>
          <w:szCs w:val="24"/>
        </w:rPr>
      </w:pPr>
    </w:p>
    <w:p w:rsidR="00A02930" w:rsidRPr="00B2492D" w:rsidRDefault="00A02930" w:rsidP="00607C69">
      <w:pPr>
        <w:pStyle w:val="BodyTextIndent"/>
        <w:rPr>
          <w:rFonts w:ascii="Arial" w:hAnsi="Arial" w:cs="Arial"/>
          <w:b/>
          <w:szCs w:val="24"/>
        </w:rPr>
      </w:pPr>
      <w:r w:rsidRPr="00B2492D">
        <w:rPr>
          <w:rFonts w:ascii="Arial" w:hAnsi="Arial" w:cs="Arial"/>
          <w:b/>
          <w:szCs w:val="24"/>
          <w:u w:val="single"/>
        </w:rPr>
        <w:t>Implementation of Internal Audit Recommendations</w:t>
      </w:r>
    </w:p>
    <w:p w:rsidR="00A02930" w:rsidRDefault="00A02930" w:rsidP="009761B9">
      <w:pPr>
        <w:pStyle w:val="BodyTextIndent"/>
        <w:ind w:hanging="720"/>
        <w:rPr>
          <w:rFonts w:ascii="Arial" w:hAnsi="Arial" w:cs="Arial"/>
          <w:szCs w:val="24"/>
        </w:rPr>
      </w:pPr>
    </w:p>
    <w:p w:rsidR="000C7119" w:rsidRDefault="00A02930"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22</w:t>
      </w:r>
      <w:r>
        <w:rPr>
          <w:rFonts w:ascii="Arial" w:hAnsi="Arial" w:cs="Arial"/>
          <w:szCs w:val="24"/>
        </w:rPr>
        <w:tab/>
      </w:r>
      <w:r w:rsidR="00607C69">
        <w:rPr>
          <w:rFonts w:ascii="Arial" w:hAnsi="Arial" w:cs="Arial"/>
          <w:szCs w:val="24"/>
        </w:rPr>
        <w:t>The last report presented to the Governance and Standards Committee in respect of the implementation of Internal Audit</w:t>
      </w:r>
      <w:r w:rsidR="002719B1">
        <w:rPr>
          <w:rFonts w:ascii="Arial" w:hAnsi="Arial" w:cs="Arial"/>
          <w:szCs w:val="24"/>
        </w:rPr>
        <w:t xml:space="preserve"> recommendations </w:t>
      </w:r>
      <w:r w:rsidR="00607C69">
        <w:rPr>
          <w:rFonts w:ascii="Arial" w:hAnsi="Arial" w:cs="Arial"/>
          <w:szCs w:val="24"/>
        </w:rPr>
        <w:t xml:space="preserve">was </w:t>
      </w:r>
      <w:r w:rsidR="000C7119">
        <w:rPr>
          <w:rFonts w:ascii="Arial" w:hAnsi="Arial" w:cs="Arial"/>
          <w:szCs w:val="24"/>
        </w:rPr>
        <w:t>on 24 January 2020. There have not been any recommendations made in Internal Audit planned reviews since that date</w:t>
      </w:r>
      <w:r w:rsidR="008B1843">
        <w:rPr>
          <w:rFonts w:ascii="Arial" w:hAnsi="Arial" w:cs="Arial"/>
          <w:szCs w:val="24"/>
        </w:rPr>
        <w:t xml:space="preserve"> that required following up</w:t>
      </w:r>
      <w:r w:rsidR="000C7119">
        <w:rPr>
          <w:rFonts w:ascii="Arial" w:hAnsi="Arial" w:cs="Arial"/>
          <w:szCs w:val="24"/>
        </w:rPr>
        <w:t>.</w:t>
      </w:r>
    </w:p>
    <w:p w:rsidR="000C7119" w:rsidRDefault="000C7119" w:rsidP="009761B9">
      <w:pPr>
        <w:pStyle w:val="BodyTextIndent"/>
        <w:ind w:hanging="720"/>
        <w:rPr>
          <w:rFonts w:ascii="Arial" w:hAnsi="Arial" w:cs="Arial"/>
          <w:szCs w:val="24"/>
        </w:rPr>
      </w:pPr>
    </w:p>
    <w:p w:rsidR="00A02930" w:rsidRDefault="000C7119"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23</w:t>
      </w:r>
      <w:r>
        <w:rPr>
          <w:rFonts w:ascii="Arial" w:hAnsi="Arial" w:cs="Arial"/>
          <w:szCs w:val="24"/>
        </w:rPr>
        <w:tab/>
        <w:t xml:space="preserve">The recommendations made in the Special Investigation – Town Centre Income Discrepancies report are now due to be followed up and the position regarding implementation will be reported to this Committee </w:t>
      </w:r>
      <w:r w:rsidR="009005A0">
        <w:rPr>
          <w:rFonts w:ascii="Arial" w:hAnsi="Arial" w:cs="Arial"/>
          <w:szCs w:val="24"/>
        </w:rPr>
        <w:t>on 14 July 2021.</w:t>
      </w:r>
      <w:r>
        <w:rPr>
          <w:rFonts w:ascii="Arial" w:hAnsi="Arial" w:cs="Arial"/>
          <w:szCs w:val="24"/>
        </w:rPr>
        <w:t xml:space="preserve"> </w:t>
      </w:r>
    </w:p>
    <w:p w:rsidR="002719B1" w:rsidRDefault="002719B1" w:rsidP="009761B9">
      <w:pPr>
        <w:pStyle w:val="BodyTextIndent"/>
        <w:ind w:hanging="720"/>
        <w:rPr>
          <w:rFonts w:ascii="Arial" w:hAnsi="Arial" w:cs="Arial"/>
          <w:szCs w:val="24"/>
        </w:rPr>
      </w:pPr>
    </w:p>
    <w:p w:rsidR="00E611FD" w:rsidRPr="00476221" w:rsidRDefault="002719B1" w:rsidP="00476221">
      <w:pPr>
        <w:pStyle w:val="BodyTextIndent"/>
        <w:rPr>
          <w:rFonts w:ascii="Arial" w:hAnsi="Arial" w:cs="Arial"/>
          <w:b/>
          <w:szCs w:val="24"/>
        </w:rPr>
      </w:pPr>
      <w:r w:rsidRPr="00476221">
        <w:rPr>
          <w:rFonts w:ascii="Arial" w:hAnsi="Arial" w:cs="Arial"/>
          <w:b/>
          <w:szCs w:val="24"/>
          <w:u w:val="single"/>
        </w:rPr>
        <w:t xml:space="preserve">Reviews of </w:t>
      </w:r>
      <w:r w:rsidR="00E611FD" w:rsidRPr="00476221">
        <w:rPr>
          <w:rFonts w:ascii="Arial" w:hAnsi="Arial" w:cs="Arial"/>
          <w:b/>
          <w:szCs w:val="24"/>
          <w:u w:val="single"/>
        </w:rPr>
        <w:t>The Council’s Corporate Governa</w:t>
      </w:r>
      <w:r w:rsidR="00F52C8C" w:rsidRPr="00476221">
        <w:rPr>
          <w:rFonts w:ascii="Arial" w:hAnsi="Arial" w:cs="Arial"/>
          <w:b/>
          <w:szCs w:val="24"/>
          <w:u w:val="single"/>
        </w:rPr>
        <w:t xml:space="preserve">nce, Counter Fraud and </w:t>
      </w:r>
      <w:r w:rsidR="009A54F6" w:rsidRPr="00476221">
        <w:rPr>
          <w:rFonts w:ascii="Arial" w:hAnsi="Arial" w:cs="Arial"/>
          <w:b/>
          <w:szCs w:val="24"/>
          <w:u w:val="single"/>
        </w:rPr>
        <w:t xml:space="preserve">Corporate </w:t>
      </w:r>
      <w:r w:rsidR="00F52C8C" w:rsidRPr="00476221">
        <w:rPr>
          <w:rFonts w:ascii="Arial" w:hAnsi="Arial" w:cs="Arial"/>
          <w:b/>
          <w:szCs w:val="24"/>
          <w:u w:val="single"/>
        </w:rPr>
        <w:t xml:space="preserve">Risk and </w:t>
      </w:r>
      <w:r w:rsidR="00E611FD" w:rsidRPr="00476221">
        <w:rPr>
          <w:rFonts w:ascii="Arial" w:hAnsi="Arial" w:cs="Arial"/>
          <w:b/>
          <w:szCs w:val="24"/>
          <w:u w:val="single"/>
        </w:rPr>
        <w:t>Opportunity Management Arrangements</w:t>
      </w:r>
    </w:p>
    <w:p w:rsidR="00E611FD" w:rsidRDefault="00E611FD" w:rsidP="009761B9">
      <w:pPr>
        <w:pStyle w:val="BodyTextIndent"/>
        <w:ind w:hanging="720"/>
        <w:rPr>
          <w:rFonts w:ascii="Arial" w:hAnsi="Arial" w:cs="Arial"/>
          <w:szCs w:val="24"/>
        </w:rPr>
      </w:pPr>
    </w:p>
    <w:p w:rsidR="00F52C8C" w:rsidRDefault="00E611FD" w:rsidP="009761B9">
      <w:pPr>
        <w:pStyle w:val="BodyTextIndent"/>
        <w:ind w:hanging="720"/>
        <w:rPr>
          <w:rFonts w:ascii="Arial" w:hAnsi="Arial" w:cs="Arial"/>
          <w:szCs w:val="24"/>
        </w:rPr>
      </w:pPr>
      <w:r>
        <w:rPr>
          <w:rFonts w:ascii="Arial" w:hAnsi="Arial" w:cs="Arial"/>
          <w:szCs w:val="24"/>
        </w:rPr>
        <w:t>3.</w:t>
      </w:r>
      <w:r w:rsidR="008B1843">
        <w:rPr>
          <w:rFonts w:ascii="Arial" w:hAnsi="Arial" w:cs="Arial"/>
          <w:szCs w:val="24"/>
        </w:rPr>
        <w:t>24</w:t>
      </w:r>
      <w:r>
        <w:rPr>
          <w:rFonts w:ascii="Arial" w:hAnsi="Arial" w:cs="Arial"/>
          <w:szCs w:val="24"/>
        </w:rPr>
        <w:tab/>
      </w:r>
      <w:r w:rsidR="00F52C8C">
        <w:rPr>
          <w:rFonts w:ascii="Arial" w:hAnsi="Arial" w:cs="Arial"/>
          <w:szCs w:val="24"/>
        </w:rPr>
        <w:t>The findings from the above reviews are detailed below:</w:t>
      </w:r>
    </w:p>
    <w:p w:rsidR="00F52C8C" w:rsidRDefault="00F52C8C" w:rsidP="009761B9">
      <w:pPr>
        <w:pStyle w:val="BodyTextIndent"/>
        <w:ind w:hanging="720"/>
        <w:rPr>
          <w:rFonts w:ascii="Arial" w:hAnsi="Arial" w:cs="Arial"/>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42" w:type="dxa"/>
        </w:tblCellMar>
        <w:tblLook w:val="01E0" w:firstRow="1" w:lastRow="1" w:firstColumn="1" w:lastColumn="1" w:noHBand="0" w:noVBand="0"/>
      </w:tblPr>
      <w:tblGrid>
        <w:gridCol w:w="3824"/>
        <w:gridCol w:w="4954"/>
      </w:tblGrid>
      <w:tr w:rsidR="00F52C8C" w:rsidRPr="001436A5" w:rsidTr="00F52C8C">
        <w:tc>
          <w:tcPr>
            <w:tcW w:w="2178" w:type="pct"/>
            <w:tcBorders>
              <w:top w:val="single" w:sz="4" w:space="0" w:color="auto"/>
              <w:left w:val="single" w:sz="4" w:space="0" w:color="auto"/>
              <w:bottom w:val="single" w:sz="4" w:space="0" w:color="auto"/>
              <w:right w:val="single" w:sz="4" w:space="0" w:color="auto"/>
            </w:tcBorders>
            <w:hideMark/>
          </w:tcPr>
          <w:p w:rsidR="00F52C8C" w:rsidRPr="001436A5" w:rsidRDefault="00F52C8C" w:rsidP="00F52C8C">
            <w:pPr>
              <w:ind w:right="-334"/>
              <w:rPr>
                <w:rFonts w:ascii="Arial" w:hAnsi="Arial" w:cs="Arial"/>
                <w:sz w:val="24"/>
                <w:szCs w:val="24"/>
              </w:rPr>
            </w:pPr>
            <w:r>
              <w:rPr>
                <w:rFonts w:ascii="Arial" w:hAnsi="Arial" w:cs="Arial"/>
                <w:sz w:val="24"/>
                <w:szCs w:val="24"/>
              </w:rPr>
              <w:t>Review</w:t>
            </w:r>
          </w:p>
        </w:tc>
        <w:tc>
          <w:tcPr>
            <w:tcW w:w="2822" w:type="pct"/>
            <w:tcBorders>
              <w:top w:val="single" w:sz="4" w:space="0" w:color="auto"/>
              <w:left w:val="single" w:sz="4" w:space="0" w:color="auto"/>
              <w:bottom w:val="single" w:sz="4" w:space="0" w:color="auto"/>
              <w:right w:val="single" w:sz="4" w:space="0" w:color="auto"/>
            </w:tcBorders>
          </w:tcPr>
          <w:p w:rsidR="00F52C8C" w:rsidRPr="001436A5" w:rsidRDefault="00F52C8C" w:rsidP="00F52C8C">
            <w:pPr>
              <w:ind w:right="-334"/>
              <w:rPr>
                <w:rFonts w:ascii="Arial" w:hAnsi="Arial" w:cs="Arial"/>
                <w:sz w:val="24"/>
                <w:szCs w:val="24"/>
              </w:rPr>
            </w:pPr>
            <w:r w:rsidRPr="001436A5">
              <w:rPr>
                <w:rFonts w:ascii="Arial" w:hAnsi="Arial" w:cs="Arial"/>
                <w:sz w:val="24"/>
                <w:szCs w:val="24"/>
              </w:rPr>
              <w:t>Summary of Findings</w:t>
            </w:r>
          </w:p>
          <w:p w:rsidR="00F52C8C" w:rsidRPr="001436A5" w:rsidRDefault="00F52C8C" w:rsidP="00F52C8C">
            <w:pPr>
              <w:ind w:right="-334"/>
              <w:jc w:val="center"/>
              <w:rPr>
                <w:rFonts w:ascii="Arial" w:hAnsi="Arial" w:cs="Arial"/>
                <w:sz w:val="24"/>
                <w:szCs w:val="24"/>
              </w:rPr>
            </w:pPr>
          </w:p>
        </w:tc>
      </w:tr>
      <w:tr w:rsidR="00F52C8C" w:rsidRPr="007C0A62" w:rsidTr="00F52C8C">
        <w:tc>
          <w:tcPr>
            <w:tcW w:w="2178" w:type="pct"/>
            <w:tcBorders>
              <w:top w:val="single" w:sz="4" w:space="0" w:color="auto"/>
              <w:left w:val="single" w:sz="4" w:space="0" w:color="auto"/>
              <w:bottom w:val="single" w:sz="4" w:space="0" w:color="auto"/>
              <w:right w:val="single" w:sz="4" w:space="0" w:color="auto"/>
            </w:tcBorders>
            <w:hideMark/>
          </w:tcPr>
          <w:p w:rsidR="00F52C8C" w:rsidRPr="007C0A62" w:rsidRDefault="00F52C8C" w:rsidP="00F52C8C">
            <w:pPr>
              <w:ind w:right="-334"/>
              <w:rPr>
                <w:rFonts w:ascii="Arial" w:hAnsi="Arial" w:cs="Arial"/>
                <w:sz w:val="24"/>
                <w:szCs w:val="24"/>
              </w:rPr>
            </w:pPr>
            <w:r>
              <w:rPr>
                <w:rFonts w:ascii="Arial" w:hAnsi="Arial" w:cs="Arial"/>
                <w:sz w:val="24"/>
                <w:szCs w:val="24"/>
              </w:rPr>
              <w:t>Corporate Governance</w:t>
            </w:r>
          </w:p>
        </w:tc>
        <w:tc>
          <w:tcPr>
            <w:tcW w:w="2822" w:type="pct"/>
            <w:tcBorders>
              <w:top w:val="single" w:sz="4" w:space="0" w:color="auto"/>
              <w:left w:val="single" w:sz="4" w:space="0" w:color="auto"/>
              <w:bottom w:val="single" w:sz="4" w:space="0" w:color="auto"/>
              <w:right w:val="single" w:sz="4" w:space="0" w:color="auto"/>
            </w:tcBorders>
          </w:tcPr>
          <w:p w:rsidR="00F52C8C" w:rsidRPr="008E2458" w:rsidRDefault="005F7505" w:rsidP="00F52C8C">
            <w:pPr>
              <w:ind w:right="72"/>
              <w:rPr>
                <w:rFonts w:ascii="Arial" w:hAnsi="Arial" w:cs="Arial"/>
                <w:sz w:val="24"/>
                <w:szCs w:val="24"/>
                <w:lang w:eastAsia="en-GB"/>
              </w:rPr>
            </w:pPr>
            <w:r>
              <w:rPr>
                <w:rFonts w:ascii="Arial" w:hAnsi="Arial" w:cs="Arial"/>
                <w:sz w:val="24"/>
                <w:szCs w:val="24"/>
                <w:lang w:eastAsia="en-GB"/>
              </w:rPr>
              <w:t>Separate report on this agenda stating that the Council’s overall level of compliance with its Code of Governance is high</w:t>
            </w:r>
          </w:p>
          <w:p w:rsidR="00F52C8C" w:rsidRPr="007C0A62" w:rsidRDefault="00F52C8C" w:rsidP="00F52C8C">
            <w:pPr>
              <w:ind w:right="72"/>
              <w:rPr>
                <w:rFonts w:ascii="Arial" w:hAnsi="Arial" w:cs="Arial"/>
                <w:sz w:val="24"/>
                <w:szCs w:val="24"/>
              </w:rPr>
            </w:pPr>
          </w:p>
        </w:tc>
      </w:tr>
      <w:tr w:rsidR="00F52C8C" w:rsidRPr="008E2458" w:rsidTr="00F52C8C">
        <w:tc>
          <w:tcPr>
            <w:tcW w:w="2178" w:type="pct"/>
            <w:tcBorders>
              <w:top w:val="single" w:sz="4" w:space="0" w:color="auto"/>
              <w:left w:val="single" w:sz="4" w:space="0" w:color="auto"/>
              <w:bottom w:val="single" w:sz="4" w:space="0" w:color="auto"/>
              <w:right w:val="single" w:sz="4" w:space="0" w:color="auto"/>
            </w:tcBorders>
          </w:tcPr>
          <w:p w:rsidR="00F52C8C" w:rsidRDefault="005F7505" w:rsidP="00F52C8C">
            <w:pPr>
              <w:ind w:right="-334"/>
              <w:rPr>
                <w:rFonts w:ascii="Arial" w:hAnsi="Arial" w:cs="Arial"/>
                <w:sz w:val="24"/>
                <w:szCs w:val="24"/>
              </w:rPr>
            </w:pPr>
            <w:r>
              <w:rPr>
                <w:rFonts w:ascii="Arial" w:hAnsi="Arial" w:cs="Arial"/>
                <w:sz w:val="24"/>
                <w:szCs w:val="24"/>
              </w:rPr>
              <w:t>Counter Fraud</w:t>
            </w:r>
          </w:p>
        </w:tc>
        <w:tc>
          <w:tcPr>
            <w:tcW w:w="2822" w:type="pct"/>
            <w:tcBorders>
              <w:top w:val="single" w:sz="4" w:space="0" w:color="auto"/>
              <w:left w:val="single" w:sz="4" w:space="0" w:color="auto"/>
              <w:bottom w:val="single" w:sz="4" w:space="0" w:color="auto"/>
              <w:right w:val="single" w:sz="4" w:space="0" w:color="auto"/>
            </w:tcBorders>
          </w:tcPr>
          <w:p w:rsidR="005F7505" w:rsidRDefault="002B0746" w:rsidP="002B0746">
            <w:pPr>
              <w:ind w:right="72"/>
              <w:rPr>
                <w:rFonts w:ascii="Arial" w:hAnsi="Arial" w:cs="Arial"/>
                <w:sz w:val="24"/>
                <w:szCs w:val="24"/>
              </w:rPr>
            </w:pPr>
            <w:r w:rsidRPr="002B0746">
              <w:rPr>
                <w:rFonts w:ascii="Arial" w:hAnsi="Arial" w:cs="Arial"/>
                <w:sz w:val="24"/>
                <w:szCs w:val="24"/>
              </w:rPr>
              <w:t>The Council’s Fraud and Corruption Register was revised in September 2020 to adequately reflect the effect of the Covid-19 pandemic upon potential areas of fraud</w:t>
            </w:r>
          </w:p>
          <w:p w:rsidR="002B0746" w:rsidRDefault="002B0746" w:rsidP="002B0746">
            <w:pPr>
              <w:ind w:right="72"/>
              <w:rPr>
                <w:rFonts w:ascii="Arial" w:hAnsi="Arial" w:cs="Arial"/>
                <w:sz w:val="24"/>
                <w:szCs w:val="24"/>
              </w:rPr>
            </w:pPr>
          </w:p>
          <w:p w:rsidR="002B0746" w:rsidRDefault="002B0746" w:rsidP="002B0746">
            <w:pPr>
              <w:ind w:right="72"/>
              <w:rPr>
                <w:rFonts w:ascii="Arial" w:hAnsi="Arial" w:cs="Arial"/>
                <w:sz w:val="24"/>
                <w:szCs w:val="24"/>
              </w:rPr>
            </w:pPr>
            <w:r>
              <w:rPr>
                <w:rFonts w:ascii="Arial" w:hAnsi="Arial" w:cs="Arial"/>
                <w:sz w:val="24"/>
                <w:szCs w:val="24"/>
              </w:rPr>
              <w:t>An annual review of the Council’s counter fraud and corruption arrangements was carried out during 2020/2021 with the findings being reported to this Committee on 2 June 2021, with no significant issues being identified</w:t>
            </w:r>
          </w:p>
          <w:p w:rsidR="002B0746" w:rsidRPr="002B0746" w:rsidRDefault="002B0746" w:rsidP="002B0746">
            <w:pPr>
              <w:ind w:right="72"/>
              <w:rPr>
                <w:rFonts w:ascii="Arial" w:hAnsi="Arial" w:cs="Arial"/>
                <w:sz w:val="24"/>
                <w:szCs w:val="24"/>
              </w:rPr>
            </w:pPr>
          </w:p>
        </w:tc>
      </w:tr>
      <w:tr w:rsidR="00211B60" w:rsidRPr="008E2458" w:rsidTr="00F52C8C">
        <w:tc>
          <w:tcPr>
            <w:tcW w:w="2178" w:type="pct"/>
            <w:tcBorders>
              <w:top w:val="single" w:sz="4" w:space="0" w:color="auto"/>
              <w:left w:val="single" w:sz="4" w:space="0" w:color="auto"/>
              <w:bottom w:val="single" w:sz="4" w:space="0" w:color="auto"/>
              <w:right w:val="single" w:sz="4" w:space="0" w:color="auto"/>
            </w:tcBorders>
          </w:tcPr>
          <w:p w:rsidR="00211B60" w:rsidRDefault="009A54F6" w:rsidP="009A54F6">
            <w:pPr>
              <w:ind w:right="-334"/>
              <w:rPr>
                <w:rFonts w:ascii="Arial" w:hAnsi="Arial" w:cs="Arial"/>
                <w:sz w:val="24"/>
                <w:szCs w:val="24"/>
              </w:rPr>
            </w:pPr>
            <w:r>
              <w:rPr>
                <w:rFonts w:ascii="Arial" w:hAnsi="Arial" w:cs="Arial"/>
                <w:sz w:val="24"/>
                <w:szCs w:val="24"/>
              </w:rPr>
              <w:t xml:space="preserve">Corporate Risk &amp; Opportunity Management Arrangements </w:t>
            </w:r>
          </w:p>
        </w:tc>
        <w:tc>
          <w:tcPr>
            <w:tcW w:w="2822" w:type="pct"/>
            <w:tcBorders>
              <w:top w:val="single" w:sz="4" w:space="0" w:color="auto"/>
              <w:left w:val="single" w:sz="4" w:space="0" w:color="auto"/>
              <w:bottom w:val="single" w:sz="4" w:space="0" w:color="auto"/>
              <w:right w:val="single" w:sz="4" w:space="0" w:color="auto"/>
            </w:tcBorders>
          </w:tcPr>
          <w:p w:rsidR="001B55A5" w:rsidRDefault="001B55A5" w:rsidP="003A6D0C">
            <w:pPr>
              <w:rPr>
                <w:rFonts w:ascii="Arial" w:hAnsi="Arial" w:cs="Arial"/>
                <w:sz w:val="24"/>
                <w:szCs w:val="24"/>
                <w:lang w:eastAsia="en-GB"/>
              </w:rPr>
            </w:pPr>
            <w:r>
              <w:rPr>
                <w:rFonts w:ascii="Arial" w:hAnsi="Arial" w:cs="Arial"/>
                <w:sz w:val="24"/>
                <w:szCs w:val="24"/>
                <w:lang w:eastAsia="en-GB"/>
              </w:rPr>
              <w:t xml:space="preserve">The Council’s Strategic Risks &amp; Opportunities Register was reviewed and revised in September 2020 </w:t>
            </w:r>
            <w:r w:rsidR="008B1843">
              <w:rPr>
                <w:rFonts w:ascii="Arial" w:hAnsi="Arial" w:cs="Arial"/>
                <w:sz w:val="24"/>
                <w:szCs w:val="24"/>
                <w:lang w:eastAsia="en-GB"/>
              </w:rPr>
              <w:t xml:space="preserve">to adequately reflect the effect of the pandemic upon the Council’s strategic risks, </w:t>
            </w:r>
            <w:r>
              <w:rPr>
                <w:rFonts w:ascii="Arial" w:hAnsi="Arial" w:cs="Arial"/>
                <w:sz w:val="24"/>
                <w:szCs w:val="24"/>
                <w:lang w:eastAsia="en-GB"/>
              </w:rPr>
              <w:t>with further update reports during 2020/2021 to this Committee in respect of implementation of the areas for improvement identified.</w:t>
            </w:r>
          </w:p>
          <w:p w:rsidR="001B55A5" w:rsidRDefault="001B55A5" w:rsidP="003A6D0C">
            <w:pPr>
              <w:rPr>
                <w:rFonts w:ascii="Arial" w:hAnsi="Arial" w:cs="Arial"/>
                <w:sz w:val="24"/>
                <w:szCs w:val="24"/>
                <w:lang w:eastAsia="en-GB"/>
              </w:rPr>
            </w:pPr>
          </w:p>
          <w:p w:rsidR="003A6D0C" w:rsidRPr="003A6D0C" w:rsidRDefault="001B55A5" w:rsidP="003A6D0C">
            <w:pPr>
              <w:rPr>
                <w:rFonts w:ascii="Arial" w:hAnsi="Arial" w:cs="Arial"/>
                <w:sz w:val="24"/>
                <w:szCs w:val="24"/>
                <w:lang w:eastAsia="en-GB"/>
              </w:rPr>
            </w:pPr>
            <w:r>
              <w:rPr>
                <w:rFonts w:ascii="Arial" w:hAnsi="Arial" w:cs="Arial"/>
                <w:sz w:val="24"/>
                <w:szCs w:val="24"/>
                <w:lang w:eastAsia="en-GB"/>
              </w:rPr>
              <w:t>An annual review of the</w:t>
            </w:r>
            <w:r w:rsidR="00DC2E41">
              <w:rPr>
                <w:rFonts w:ascii="Arial" w:hAnsi="Arial" w:cs="Arial"/>
                <w:sz w:val="24"/>
                <w:szCs w:val="24"/>
                <w:lang w:eastAsia="en-GB"/>
              </w:rPr>
              <w:t xml:space="preserve"> </w:t>
            </w:r>
            <w:r w:rsidR="003A6D0C" w:rsidRPr="003A6D0C">
              <w:rPr>
                <w:rFonts w:ascii="Arial" w:hAnsi="Arial" w:cs="Arial"/>
                <w:sz w:val="24"/>
                <w:szCs w:val="24"/>
                <w:lang w:eastAsia="en-GB"/>
              </w:rPr>
              <w:t>Council</w:t>
            </w:r>
            <w:r w:rsidR="00DC2E41">
              <w:rPr>
                <w:rFonts w:ascii="Arial" w:hAnsi="Arial" w:cs="Arial"/>
                <w:sz w:val="24"/>
                <w:szCs w:val="24"/>
                <w:lang w:eastAsia="en-GB"/>
              </w:rPr>
              <w:t>’s</w:t>
            </w:r>
            <w:r w:rsidR="003A6D0C" w:rsidRPr="003A6D0C">
              <w:rPr>
                <w:rFonts w:ascii="Arial" w:hAnsi="Arial" w:cs="Arial"/>
                <w:sz w:val="24"/>
                <w:szCs w:val="24"/>
                <w:lang w:eastAsia="en-GB"/>
              </w:rPr>
              <w:t xml:space="preserve"> corporate risk and opportunity management arrangements </w:t>
            </w:r>
            <w:r w:rsidR="00DC2E41">
              <w:rPr>
                <w:rFonts w:ascii="Arial" w:hAnsi="Arial" w:cs="Arial"/>
                <w:sz w:val="24"/>
                <w:szCs w:val="24"/>
                <w:lang w:eastAsia="en-GB"/>
              </w:rPr>
              <w:t xml:space="preserve">is </w:t>
            </w:r>
            <w:r>
              <w:rPr>
                <w:rFonts w:ascii="Arial" w:hAnsi="Arial" w:cs="Arial"/>
                <w:sz w:val="24"/>
                <w:szCs w:val="24"/>
                <w:lang w:eastAsia="en-GB"/>
              </w:rPr>
              <w:t>currently being carried out with the findings due to be reported to this Committee on 14 July 2021</w:t>
            </w:r>
          </w:p>
          <w:p w:rsidR="00211B60" w:rsidRDefault="009A54F6" w:rsidP="009A54F6">
            <w:pPr>
              <w:ind w:right="72"/>
              <w:rPr>
                <w:rFonts w:ascii="Arial" w:hAnsi="Arial" w:cs="Arial"/>
                <w:sz w:val="24"/>
                <w:szCs w:val="24"/>
              </w:rPr>
            </w:pPr>
            <w:r>
              <w:rPr>
                <w:rFonts w:ascii="Arial" w:hAnsi="Arial" w:cs="Arial"/>
                <w:sz w:val="24"/>
                <w:szCs w:val="24"/>
              </w:rPr>
              <w:t xml:space="preserve">   </w:t>
            </w:r>
          </w:p>
        </w:tc>
      </w:tr>
    </w:tbl>
    <w:p w:rsidR="00F52C8C" w:rsidRDefault="00F52C8C" w:rsidP="009761B9">
      <w:pPr>
        <w:pStyle w:val="BodyTextIndent"/>
        <w:ind w:hanging="720"/>
        <w:rPr>
          <w:rFonts w:ascii="Arial" w:hAnsi="Arial" w:cs="Arial"/>
          <w:szCs w:val="24"/>
        </w:rPr>
      </w:pPr>
    </w:p>
    <w:p w:rsidR="001B55A5" w:rsidRDefault="001B55A5" w:rsidP="009761B9">
      <w:pPr>
        <w:pStyle w:val="BodyTextIndent"/>
        <w:ind w:hanging="720"/>
        <w:rPr>
          <w:rFonts w:ascii="Arial" w:hAnsi="Arial" w:cs="Arial"/>
          <w:szCs w:val="24"/>
          <w:u w:val="single"/>
        </w:rPr>
      </w:pPr>
    </w:p>
    <w:p w:rsidR="001B55A5" w:rsidRDefault="001B55A5" w:rsidP="009761B9">
      <w:pPr>
        <w:pStyle w:val="BodyTextIndent"/>
        <w:ind w:hanging="720"/>
        <w:rPr>
          <w:rFonts w:ascii="Arial" w:hAnsi="Arial" w:cs="Arial"/>
          <w:szCs w:val="24"/>
          <w:u w:val="single"/>
        </w:rPr>
      </w:pPr>
    </w:p>
    <w:p w:rsidR="001B55A5" w:rsidRDefault="001B55A5" w:rsidP="009761B9">
      <w:pPr>
        <w:pStyle w:val="BodyTextIndent"/>
        <w:ind w:hanging="720"/>
        <w:rPr>
          <w:rFonts w:ascii="Arial" w:hAnsi="Arial" w:cs="Arial"/>
          <w:szCs w:val="24"/>
          <w:u w:val="single"/>
        </w:rPr>
      </w:pPr>
    </w:p>
    <w:p w:rsidR="001B55A5" w:rsidRDefault="001B55A5" w:rsidP="009761B9">
      <w:pPr>
        <w:pStyle w:val="BodyTextIndent"/>
        <w:ind w:hanging="720"/>
        <w:rPr>
          <w:rFonts w:ascii="Arial" w:hAnsi="Arial" w:cs="Arial"/>
          <w:szCs w:val="24"/>
          <w:u w:val="single"/>
        </w:rPr>
      </w:pPr>
    </w:p>
    <w:p w:rsidR="00366471" w:rsidRPr="001B55A5" w:rsidRDefault="00366471" w:rsidP="004C0DD9">
      <w:pPr>
        <w:pStyle w:val="BodyTextIndent"/>
        <w:rPr>
          <w:rFonts w:ascii="Arial" w:hAnsi="Arial" w:cs="Arial"/>
          <w:b/>
          <w:szCs w:val="24"/>
          <w:u w:val="single"/>
        </w:rPr>
      </w:pPr>
      <w:r w:rsidRPr="001B55A5">
        <w:rPr>
          <w:rFonts w:ascii="Arial" w:hAnsi="Arial" w:cs="Arial"/>
          <w:b/>
          <w:szCs w:val="24"/>
          <w:u w:val="single"/>
        </w:rPr>
        <w:t xml:space="preserve">Work Performed by </w:t>
      </w:r>
      <w:r w:rsidR="002D1B1F" w:rsidRPr="001B55A5">
        <w:rPr>
          <w:rFonts w:ascii="Arial" w:hAnsi="Arial" w:cs="Arial"/>
          <w:b/>
          <w:szCs w:val="24"/>
          <w:u w:val="single"/>
        </w:rPr>
        <w:t xml:space="preserve">Other </w:t>
      </w:r>
      <w:r w:rsidRPr="001B55A5">
        <w:rPr>
          <w:rFonts w:ascii="Arial" w:hAnsi="Arial" w:cs="Arial"/>
          <w:b/>
          <w:szCs w:val="24"/>
          <w:u w:val="single"/>
        </w:rPr>
        <w:t>Assurance Providers</w:t>
      </w:r>
    </w:p>
    <w:p w:rsidR="002719B1" w:rsidRPr="00A02930" w:rsidRDefault="002719B1" w:rsidP="009761B9">
      <w:pPr>
        <w:pStyle w:val="BodyTextIndent"/>
        <w:ind w:hanging="720"/>
        <w:rPr>
          <w:rFonts w:ascii="Arial" w:hAnsi="Arial" w:cs="Arial"/>
          <w:szCs w:val="24"/>
        </w:rPr>
      </w:pPr>
      <w:r>
        <w:rPr>
          <w:rFonts w:ascii="Arial" w:hAnsi="Arial" w:cs="Arial"/>
          <w:szCs w:val="24"/>
        </w:rPr>
        <w:t xml:space="preserve"> </w:t>
      </w:r>
    </w:p>
    <w:p w:rsidR="00584B7A" w:rsidRPr="00584B7A" w:rsidRDefault="00104551" w:rsidP="004C0DD9">
      <w:pPr>
        <w:ind w:left="720" w:hanging="720"/>
        <w:rPr>
          <w:rFonts w:ascii="Arial" w:hAnsi="Arial" w:cs="Arial"/>
          <w:bCs/>
          <w:sz w:val="24"/>
          <w:szCs w:val="24"/>
        </w:rPr>
      </w:pPr>
      <w:r w:rsidRPr="00584B7A">
        <w:rPr>
          <w:rFonts w:ascii="Arial" w:hAnsi="Arial" w:cs="Arial"/>
          <w:sz w:val="24"/>
          <w:szCs w:val="24"/>
        </w:rPr>
        <w:t>3.</w:t>
      </w:r>
      <w:r w:rsidR="006C5DC2">
        <w:rPr>
          <w:rFonts w:ascii="Arial" w:hAnsi="Arial" w:cs="Arial"/>
          <w:sz w:val="24"/>
          <w:szCs w:val="24"/>
        </w:rPr>
        <w:t>25</w:t>
      </w:r>
      <w:r w:rsidRPr="00584B7A">
        <w:rPr>
          <w:rFonts w:ascii="Arial" w:hAnsi="Arial" w:cs="Arial"/>
          <w:sz w:val="24"/>
          <w:szCs w:val="24"/>
        </w:rPr>
        <w:tab/>
      </w:r>
      <w:r w:rsidR="00584B7A" w:rsidRPr="00584B7A">
        <w:rPr>
          <w:rFonts w:ascii="Arial" w:hAnsi="Arial" w:cs="Arial"/>
          <w:bCs/>
          <w:sz w:val="24"/>
          <w:szCs w:val="24"/>
        </w:rPr>
        <w:t xml:space="preserve">The Council’s External Auditors </w:t>
      </w:r>
      <w:r w:rsidR="004C0DD9">
        <w:rPr>
          <w:rFonts w:ascii="Arial" w:hAnsi="Arial" w:cs="Arial"/>
          <w:bCs/>
          <w:sz w:val="24"/>
          <w:szCs w:val="24"/>
        </w:rPr>
        <w:t>have presented reports to this Committee during 2020/2021 with no significant issues being raised</w:t>
      </w:r>
      <w:r w:rsidR="00584B7A" w:rsidRPr="00584B7A">
        <w:rPr>
          <w:rFonts w:ascii="Arial" w:hAnsi="Arial" w:cs="Arial"/>
          <w:bCs/>
          <w:sz w:val="24"/>
          <w:szCs w:val="24"/>
        </w:rPr>
        <w:t xml:space="preserve"> </w:t>
      </w:r>
    </w:p>
    <w:p w:rsidR="00F11BFC" w:rsidRDefault="00F11BFC" w:rsidP="009761B9">
      <w:pPr>
        <w:pStyle w:val="BodyTextIndent"/>
        <w:ind w:hanging="720"/>
        <w:rPr>
          <w:rFonts w:ascii="Arial" w:hAnsi="Arial" w:cs="Arial"/>
          <w:szCs w:val="24"/>
        </w:rPr>
      </w:pPr>
    </w:p>
    <w:p w:rsidR="006B51D0" w:rsidRPr="006B51D0" w:rsidRDefault="00366471" w:rsidP="006B51D0">
      <w:pPr>
        <w:ind w:left="720" w:hanging="720"/>
        <w:rPr>
          <w:rFonts w:ascii="Arial" w:hAnsi="Arial" w:cs="Arial"/>
          <w:sz w:val="24"/>
          <w:szCs w:val="24"/>
          <w:lang w:eastAsia="en-GB"/>
        </w:rPr>
      </w:pPr>
      <w:r w:rsidRPr="006B51D0">
        <w:rPr>
          <w:rFonts w:ascii="Arial" w:hAnsi="Arial" w:cs="Arial"/>
          <w:sz w:val="24"/>
          <w:szCs w:val="24"/>
        </w:rPr>
        <w:t>3.</w:t>
      </w:r>
      <w:r w:rsidR="006C5DC2">
        <w:rPr>
          <w:rFonts w:ascii="Arial" w:hAnsi="Arial" w:cs="Arial"/>
          <w:sz w:val="24"/>
          <w:szCs w:val="24"/>
        </w:rPr>
        <w:t>26</w:t>
      </w:r>
      <w:r>
        <w:rPr>
          <w:rFonts w:ascii="Arial" w:hAnsi="Arial" w:cs="Arial"/>
          <w:szCs w:val="24"/>
        </w:rPr>
        <w:tab/>
      </w:r>
      <w:r w:rsidR="006B51D0" w:rsidRPr="006B51D0">
        <w:rPr>
          <w:rFonts w:ascii="Arial" w:hAnsi="Arial" w:cs="Arial"/>
          <w:sz w:val="24"/>
          <w:szCs w:val="24"/>
          <w:lang w:eastAsia="en-GB"/>
        </w:rPr>
        <w:t xml:space="preserve">The Local Government and Social Care Ombudsman’s annual report was presented to the </w:t>
      </w:r>
      <w:r w:rsidR="00584B7A">
        <w:rPr>
          <w:rFonts w:ascii="Arial" w:hAnsi="Arial" w:cs="Arial"/>
          <w:sz w:val="24"/>
          <w:szCs w:val="24"/>
          <w:lang w:eastAsia="en-GB"/>
        </w:rPr>
        <w:t xml:space="preserve">Governance &amp; </w:t>
      </w:r>
      <w:r w:rsidR="004C0DD9">
        <w:rPr>
          <w:rFonts w:ascii="Arial" w:hAnsi="Arial" w:cs="Arial"/>
          <w:sz w:val="24"/>
          <w:szCs w:val="24"/>
          <w:lang w:eastAsia="en-GB"/>
        </w:rPr>
        <w:t>Standards</w:t>
      </w:r>
      <w:r w:rsidR="006B51D0" w:rsidRPr="006B51D0">
        <w:rPr>
          <w:rFonts w:ascii="Arial" w:hAnsi="Arial" w:cs="Arial"/>
          <w:sz w:val="24"/>
          <w:szCs w:val="24"/>
          <w:lang w:eastAsia="en-GB"/>
        </w:rPr>
        <w:t xml:space="preserve"> Committee which detailed their findings in respect of complaints received by them in 201</w:t>
      </w:r>
      <w:r w:rsidR="004C0DD9">
        <w:rPr>
          <w:rFonts w:ascii="Arial" w:hAnsi="Arial" w:cs="Arial"/>
          <w:sz w:val="24"/>
          <w:szCs w:val="24"/>
          <w:lang w:eastAsia="en-GB"/>
        </w:rPr>
        <w:t>9</w:t>
      </w:r>
      <w:r w:rsidR="006B51D0" w:rsidRPr="006B51D0">
        <w:rPr>
          <w:rFonts w:ascii="Arial" w:hAnsi="Arial" w:cs="Arial"/>
          <w:sz w:val="24"/>
          <w:szCs w:val="24"/>
          <w:lang w:eastAsia="en-GB"/>
        </w:rPr>
        <w:t>/20</w:t>
      </w:r>
      <w:r w:rsidR="004C0DD9">
        <w:rPr>
          <w:rFonts w:ascii="Arial" w:hAnsi="Arial" w:cs="Arial"/>
          <w:sz w:val="24"/>
          <w:szCs w:val="24"/>
          <w:lang w:eastAsia="en-GB"/>
        </w:rPr>
        <w:t>20</w:t>
      </w:r>
      <w:r w:rsidR="006B51D0" w:rsidRPr="006B51D0">
        <w:rPr>
          <w:rFonts w:ascii="Arial" w:hAnsi="Arial" w:cs="Arial"/>
          <w:sz w:val="24"/>
          <w:szCs w:val="24"/>
          <w:lang w:eastAsia="en-GB"/>
        </w:rPr>
        <w:t xml:space="preserve"> with only </w:t>
      </w:r>
      <w:r w:rsidR="0086012D">
        <w:rPr>
          <w:rFonts w:ascii="Arial" w:hAnsi="Arial" w:cs="Arial"/>
          <w:sz w:val="24"/>
          <w:szCs w:val="24"/>
          <w:lang w:eastAsia="en-GB"/>
        </w:rPr>
        <w:t>one</w:t>
      </w:r>
      <w:r w:rsidR="006B51D0" w:rsidRPr="006B51D0">
        <w:rPr>
          <w:rFonts w:ascii="Arial" w:hAnsi="Arial" w:cs="Arial"/>
          <w:sz w:val="24"/>
          <w:szCs w:val="24"/>
          <w:lang w:eastAsia="en-GB"/>
        </w:rPr>
        <w:t xml:space="preserve"> being upheld</w:t>
      </w:r>
      <w:r w:rsidR="0086012D">
        <w:rPr>
          <w:rFonts w:ascii="Arial" w:hAnsi="Arial" w:cs="Arial"/>
          <w:sz w:val="24"/>
          <w:szCs w:val="24"/>
          <w:lang w:eastAsia="en-GB"/>
        </w:rPr>
        <w:t xml:space="preserve"> in part.</w:t>
      </w:r>
    </w:p>
    <w:p w:rsidR="00366471" w:rsidRPr="007C0A62" w:rsidRDefault="00366471" w:rsidP="009761B9">
      <w:pPr>
        <w:pStyle w:val="BodyTextIndent"/>
        <w:ind w:hanging="720"/>
        <w:rPr>
          <w:rFonts w:ascii="Arial" w:hAnsi="Arial" w:cs="Arial"/>
          <w:szCs w:val="24"/>
        </w:rPr>
      </w:pPr>
    </w:p>
    <w:p w:rsidR="008F7FC6" w:rsidRPr="00790D8E" w:rsidRDefault="008F7FC6" w:rsidP="00D51E49">
      <w:pPr>
        <w:pStyle w:val="BodyTextIndent"/>
        <w:ind w:hanging="720"/>
        <w:rPr>
          <w:rFonts w:ascii="Arial" w:hAnsi="Arial" w:cs="Arial"/>
          <w:b/>
          <w:szCs w:val="24"/>
        </w:rPr>
      </w:pPr>
      <w:r w:rsidRPr="007C0A62">
        <w:rPr>
          <w:rFonts w:ascii="Arial" w:hAnsi="Arial" w:cs="Arial"/>
          <w:szCs w:val="24"/>
        </w:rPr>
        <w:tab/>
      </w:r>
      <w:r w:rsidR="00EA4802" w:rsidRPr="00790D8E">
        <w:rPr>
          <w:rFonts w:ascii="Arial" w:hAnsi="Arial" w:cs="Arial"/>
          <w:b/>
          <w:szCs w:val="24"/>
          <w:u w:val="single"/>
        </w:rPr>
        <w:t>Corporate</w:t>
      </w:r>
      <w:r w:rsidR="00AB5B37" w:rsidRPr="00790D8E">
        <w:rPr>
          <w:rFonts w:ascii="Arial" w:hAnsi="Arial" w:cs="Arial"/>
          <w:b/>
          <w:szCs w:val="24"/>
          <w:u w:val="single"/>
        </w:rPr>
        <w:t xml:space="preserve"> Assurance Manager</w:t>
      </w:r>
      <w:r w:rsidRPr="00790D8E">
        <w:rPr>
          <w:rFonts w:ascii="Arial" w:hAnsi="Arial" w:cs="Arial"/>
          <w:b/>
          <w:szCs w:val="24"/>
          <w:u w:val="single"/>
        </w:rPr>
        <w:t>’s Opinion Statement</w:t>
      </w:r>
    </w:p>
    <w:p w:rsidR="00D51E49" w:rsidRPr="007C0A62" w:rsidRDefault="00D51E49" w:rsidP="00D51E49">
      <w:pPr>
        <w:pStyle w:val="BodyTextIndent"/>
        <w:ind w:hanging="720"/>
        <w:rPr>
          <w:rFonts w:ascii="Arial" w:hAnsi="Arial" w:cs="Arial"/>
          <w:szCs w:val="24"/>
        </w:rPr>
      </w:pPr>
      <w:r w:rsidRPr="007C0A62">
        <w:rPr>
          <w:rFonts w:ascii="Arial" w:hAnsi="Arial" w:cs="Arial"/>
          <w:szCs w:val="24"/>
        </w:rPr>
        <w:tab/>
      </w:r>
    </w:p>
    <w:p w:rsidR="00790D8E" w:rsidRDefault="00956931" w:rsidP="004C0E96">
      <w:pPr>
        <w:pStyle w:val="BodyTextIndent"/>
        <w:ind w:hanging="720"/>
        <w:rPr>
          <w:rFonts w:ascii="Arial" w:hAnsi="Arial" w:cs="Arial"/>
          <w:szCs w:val="24"/>
        </w:rPr>
      </w:pPr>
      <w:r w:rsidRPr="007C0A62">
        <w:rPr>
          <w:rFonts w:ascii="Arial" w:hAnsi="Arial" w:cs="Arial"/>
          <w:szCs w:val="24"/>
        </w:rPr>
        <w:t>3.</w:t>
      </w:r>
      <w:r w:rsidR="006C5DC2">
        <w:rPr>
          <w:rFonts w:ascii="Arial" w:hAnsi="Arial" w:cs="Arial"/>
          <w:szCs w:val="24"/>
        </w:rPr>
        <w:t>27</w:t>
      </w:r>
      <w:r w:rsidRPr="007C0A62">
        <w:rPr>
          <w:rFonts w:ascii="Arial" w:hAnsi="Arial" w:cs="Arial"/>
          <w:szCs w:val="24"/>
        </w:rPr>
        <w:tab/>
      </w:r>
      <w:r w:rsidR="00790D8E">
        <w:rPr>
          <w:rFonts w:ascii="Arial" w:hAnsi="Arial" w:cs="Arial"/>
          <w:szCs w:val="24"/>
        </w:rPr>
        <w:t xml:space="preserve">The only area where the level of independent assurance received during 2020/2021 is less than </w:t>
      </w:r>
      <w:r w:rsidR="006C5DC2">
        <w:rPr>
          <w:rFonts w:ascii="Arial" w:hAnsi="Arial" w:cs="Arial"/>
          <w:szCs w:val="24"/>
        </w:rPr>
        <w:t>the Corporate Assurance Manager</w:t>
      </w:r>
      <w:r w:rsidR="00790D8E">
        <w:rPr>
          <w:rFonts w:ascii="Arial" w:hAnsi="Arial" w:cs="Arial"/>
          <w:szCs w:val="24"/>
        </w:rPr>
        <w:t xml:space="preserve"> would </w:t>
      </w:r>
      <w:r w:rsidR="006C5DC2">
        <w:rPr>
          <w:rFonts w:ascii="Arial" w:hAnsi="Arial" w:cs="Arial"/>
          <w:szCs w:val="24"/>
        </w:rPr>
        <w:t>expect</w:t>
      </w:r>
      <w:r w:rsidR="00790D8E">
        <w:rPr>
          <w:rFonts w:ascii="Arial" w:hAnsi="Arial" w:cs="Arial"/>
          <w:szCs w:val="24"/>
        </w:rPr>
        <w:t xml:space="preserve"> is in respect of the reviews carried out by Internal Audit of the Council’s internal control processes.</w:t>
      </w:r>
    </w:p>
    <w:p w:rsidR="00790D8E" w:rsidRDefault="00790D8E" w:rsidP="004C0E96">
      <w:pPr>
        <w:pStyle w:val="BodyTextIndent"/>
        <w:ind w:hanging="720"/>
        <w:rPr>
          <w:rFonts w:ascii="Arial" w:hAnsi="Arial" w:cs="Arial"/>
          <w:szCs w:val="24"/>
        </w:rPr>
      </w:pPr>
    </w:p>
    <w:p w:rsidR="00790D8E" w:rsidRDefault="00790D8E" w:rsidP="004C0E96">
      <w:pPr>
        <w:pStyle w:val="BodyTextIndent"/>
        <w:ind w:hanging="720"/>
        <w:rPr>
          <w:rFonts w:ascii="Arial" w:hAnsi="Arial" w:cs="Arial"/>
          <w:szCs w:val="24"/>
        </w:rPr>
      </w:pPr>
      <w:r>
        <w:rPr>
          <w:rFonts w:ascii="Arial" w:hAnsi="Arial" w:cs="Arial"/>
          <w:szCs w:val="24"/>
        </w:rPr>
        <w:t>3.2</w:t>
      </w:r>
      <w:r w:rsidR="006C5DC2">
        <w:rPr>
          <w:rFonts w:ascii="Arial" w:hAnsi="Arial" w:cs="Arial"/>
          <w:szCs w:val="24"/>
        </w:rPr>
        <w:t>8</w:t>
      </w:r>
      <w:r>
        <w:rPr>
          <w:rFonts w:ascii="Arial" w:hAnsi="Arial" w:cs="Arial"/>
          <w:szCs w:val="24"/>
        </w:rPr>
        <w:t xml:space="preserve"> </w:t>
      </w:r>
      <w:r>
        <w:rPr>
          <w:rFonts w:ascii="Arial" w:hAnsi="Arial" w:cs="Arial"/>
          <w:szCs w:val="24"/>
        </w:rPr>
        <w:tab/>
        <w:t xml:space="preserve">However, the following mitigating factors have provided </w:t>
      </w:r>
      <w:r w:rsidR="006C5DC2">
        <w:rPr>
          <w:rFonts w:ascii="Arial" w:hAnsi="Arial" w:cs="Arial"/>
          <w:szCs w:val="24"/>
        </w:rPr>
        <w:t>the Corporate Assurance Manager</w:t>
      </w:r>
      <w:r>
        <w:rPr>
          <w:rFonts w:ascii="Arial" w:hAnsi="Arial" w:cs="Arial"/>
          <w:szCs w:val="24"/>
        </w:rPr>
        <w:t xml:space="preserve"> with the required level of confidence in the continued effectiveness of the Council’s internal control framework:</w:t>
      </w:r>
    </w:p>
    <w:p w:rsidR="00790D8E" w:rsidRDefault="00790D8E" w:rsidP="004C0E96">
      <w:pPr>
        <w:pStyle w:val="BodyTextIndent"/>
        <w:ind w:hanging="720"/>
        <w:rPr>
          <w:rFonts w:ascii="Arial" w:hAnsi="Arial" w:cs="Arial"/>
          <w:szCs w:val="24"/>
        </w:rPr>
      </w:pPr>
    </w:p>
    <w:p w:rsidR="004251EA" w:rsidRDefault="00790D8E" w:rsidP="00790D8E">
      <w:pPr>
        <w:pStyle w:val="BodyTextIndent"/>
        <w:numPr>
          <w:ilvl w:val="0"/>
          <w:numId w:val="24"/>
        </w:numPr>
        <w:rPr>
          <w:rFonts w:ascii="Arial" w:hAnsi="Arial" w:cs="Arial"/>
          <w:szCs w:val="24"/>
        </w:rPr>
      </w:pPr>
      <w:r>
        <w:rPr>
          <w:rFonts w:ascii="Arial" w:hAnsi="Arial" w:cs="Arial"/>
          <w:szCs w:val="24"/>
        </w:rPr>
        <w:t>The real time proactive assurances received in respect of the Council’s strategic risks</w:t>
      </w:r>
      <w:r w:rsidR="004251EA">
        <w:rPr>
          <w:rFonts w:ascii="Arial" w:hAnsi="Arial" w:cs="Arial"/>
          <w:szCs w:val="24"/>
        </w:rPr>
        <w:t xml:space="preserve"> in line with the revised focus of the Internal Audit Service</w:t>
      </w:r>
      <w:r w:rsidR="006C5DC2">
        <w:rPr>
          <w:rFonts w:ascii="Arial" w:hAnsi="Arial" w:cs="Arial"/>
          <w:szCs w:val="24"/>
        </w:rPr>
        <w:t xml:space="preserve"> as detailed in Table 2 above.</w:t>
      </w:r>
    </w:p>
    <w:p w:rsidR="004251EA" w:rsidRDefault="004251EA" w:rsidP="004251EA">
      <w:pPr>
        <w:pStyle w:val="BodyTextIndent"/>
        <w:ind w:left="1440"/>
        <w:rPr>
          <w:rFonts w:ascii="Arial" w:hAnsi="Arial" w:cs="Arial"/>
          <w:szCs w:val="24"/>
        </w:rPr>
      </w:pPr>
    </w:p>
    <w:p w:rsidR="004251EA" w:rsidRDefault="004251EA" w:rsidP="00790D8E">
      <w:pPr>
        <w:pStyle w:val="BodyTextIndent"/>
        <w:numPr>
          <w:ilvl w:val="0"/>
          <w:numId w:val="24"/>
        </w:numPr>
        <w:rPr>
          <w:rFonts w:ascii="Arial" w:hAnsi="Arial" w:cs="Arial"/>
          <w:szCs w:val="24"/>
        </w:rPr>
      </w:pPr>
      <w:r>
        <w:rPr>
          <w:rFonts w:ascii="Arial" w:hAnsi="Arial" w:cs="Arial"/>
          <w:szCs w:val="24"/>
        </w:rPr>
        <w:t>T</w:t>
      </w:r>
      <w:r w:rsidR="00790D8E">
        <w:rPr>
          <w:rFonts w:ascii="Arial" w:hAnsi="Arial" w:cs="Arial"/>
          <w:szCs w:val="24"/>
        </w:rPr>
        <w:t>he assurances from senior managers that significant changes had not been made to existing key systems during 2020/2021 in response to the pandemic</w:t>
      </w:r>
    </w:p>
    <w:p w:rsidR="004251EA" w:rsidRDefault="004251EA" w:rsidP="004251EA">
      <w:pPr>
        <w:pStyle w:val="ListParagraph"/>
        <w:rPr>
          <w:rFonts w:ascii="Arial" w:hAnsi="Arial" w:cs="Arial"/>
          <w:szCs w:val="24"/>
        </w:rPr>
      </w:pPr>
    </w:p>
    <w:p w:rsidR="00790D8E" w:rsidRPr="004251EA" w:rsidRDefault="004251EA" w:rsidP="006C5DC2">
      <w:pPr>
        <w:pStyle w:val="BodyTextIndent"/>
        <w:numPr>
          <w:ilvl w:val="0"/>
          <w:numId w:val="24"/>
        </w:numPr>
        <w:ind w:hanging="306"/>
        <w:rPr>
          <w:rFonts w:ascii="Arial" w:hAnsi="Arial" w:cs="Arial"/>
          <w:szCs w:val="24"/>
        </w:rPr>
      </w:pPr>
      <w:r w:rsidRPr="004251EA">
        <w:rPr>
          <w:rFonts w:ascii="Arial" w:hAnsi="Arial" w:cs="Arial"/>
          <w:szCs w:val="24"/>
        </w:rPr>
        <w:t>T</w:t>
      </w:r>
      <w:r w:rsidR="00790D8E" w:rsidRPr="004251EA">
        <w:rPr>
          <w:rFonts w:ascii="Arial" w:hAnsi="Arial" w:cs="Arial"/>
          <w:szCs w:val="24"/>
        </w:rPr>
        <w:t>he level of assurance received in previous years from Internal Audit reviews of key systems</w:t>
      </w:r>
    </w:p>
    <w:p w:rsidR="00790D8E" w:rsidRDefault="00790D8E" w:rsidP="004C0E96">
      <w:pPr>
        <w:pStyle w:val="BodyTextIndent"/>
        <w:ind w:hanging="720"/>
        <w:rPr>
          <w:rFonts w:ascii="Arial" w:hAnsi="Arial" w:cs="Arial"/>
          <w:szCs w:val="24"/>
        </w:rPr>
      </w:pPr>
    </w:p>
    <w:p w:rsidR="00366471" w:rsidRDefault="004251EA" w:rsidP="004C0E96">
      <w:pPr>
        <w:pStyle w:val="BodyTextIndent"/>
        <w:ind w:hanging="720"/>
        <w:rPr>
          <w:rFonts w:ascii="Arial" w:hAnsi="Arial" w:cs="Arial"/>
          <w:szCs w:val="24"/>
        </w:rPr>
      </w:pPr>
      <w:r>
        <w:rPr>
          <w:rFonts w:ascii="Arial" w:hAnsi="Arial" w:cs="Arial"/>
          <w:szCs w:val="24"/>
        </w:rPr>
        <w:t>3.2</w:t>
      </w:r>
      <w:r w:rsidR="006C5DC2">
        <w:rPr>
          <w:rFonts w:ascii="Arial" w:hAnsi="Arial" w:cs="Arial"/>
          <w:szCs w:val="24"/>
        </w:rPr>
        <w:t>9</w:t>
      </w:r>
      <w:r>
        <w:rPr>
          <w:rFonts w:ascii="Arial" w:hAnsi="Arial" w:cs="Arial"/>
          <w:szCs w:val="24"/>
        </w:rPr>
        <w:tab/>
      </w:r>
      <w:r w:rsidR="004C0E96" w:rsidRPr="007C0A62">
        <w:rPr>
          <w:rFonts w:ascii="Arial" w:hAnsi="Arial" w:cs="Arial"/>
          <w:szCs w:val="24"/>
        </w:rPr>
        <w:t xml:space="preserve">Based on the above results </w:t>
      </w:r>
      <w:r w:rsidR="006C5DC2">
        <w:rPr>
          <w:rFonts w:ascii="Arial" w:hAnsi="Arial" w:cs="Arial"/>
          <w:szCs w:val="24"/>
        </w:rPr>
        <w:t>the Corporate Assurance Manager is</w:t>
      </w:r>
      <w:r w:rsidR="004C0E96" w:rsidRPr="007C0A62">
        <w:rPr>
          <w:rFonts w:ascii="Arial" w:hAnsi="Arial" w:cs="Arial"/>
          <w:szCs w:val="24"/>
        </w:rPr>
        <w:t xml:space="preserve"> </w:t>
      </w:r>
      <w:r w:rsidR="00366471">
        <w:rPr>
          <w:rFonts w:ascii="Arial" w:hAnsi="Arial" w:cs="Arial"/>
          <w:szCs w:val="24"/>
        </w:rPr>
        <w:t>satisfied that the Council has the following in place:</w:t>
      </w:r>
    </w:p>
    <w:p w:rsidR="00366471" w:rsidRDefault="00366471" w:rsidP="004C0E96">
      <w:pPr>
        <w:pStyle w:val="BodyTextIndent"/>
        <w:ind w:hanging="720"/>
        <w:rPr>
          <w:rFonts w:ascii="Arial" w:hAnsi="Arial" w:cs="Arial"/>
          <w:szCs w:val="24"/>
        </w:rPr>
      </w:pPr>
    </w:p>
    <w:p w:rsidR="00366471" w:rsidRDefault="00366471" w:rsidP="008E01F6">
      <w:pPr>
        <w:pStyle w:val="BodyTextIndent"/>
        <w:numPr>
          <w:ilvl w:val="0"/>
          <w:numId w:val="13"/>
        </w:numPr>
        <w:ind w:firstLine="131"/>
        <w:rPr>
          <w:rFonts w:ascii="Arial" w:hAnsi="Arial" w:cs="Arial"/>
          <w:szCs w:val="24"/>
        </w:rPr>
      </w:pPr>
      <w:r>
        <w:rPr>
          <w:rFonts w:ascii="Arial" w:hAnsi="Arial" w:cs="Arial"/>
          <w:szCs w:val="24"/>
        </w:rPr>
        <w:t>adequate and effective governance arrangements</w:t>
      </w:r>
    </w:p>
    <w:p w:rsidR="00366471" w:rsidRDefault="00366471" w:rsidP="008E01F6">
      <w:pPr>
        <w:pStyle w:val="BodyTextIndent"/>
        <w:numPr>
          <w:ilvl w:val="0"/>
          <w:numId w:val="13"/>
        </w:numPr>
        <w:ind w:left="1418" w:hanging="567"/>
        <w:rPr>
          <w:rFonts w:ascii="Arial" w:hAnsi="Arial" w:cs="Arial"/>
          <w:szCs w:val="24"/>
        </w:rPr>
      </w:pPr>
      <w:r>
        <w:rPr>
          <w:rFonts w:ascii="Arial" w:hAnsi="Arial" w:cs="Arial"/>
          <w:szCs w:val="24"/>
        </w:rPr>
        <w:t xml:space="preserve">adequate and effective risk and opportunity management </w:t>
      </w:r>
      <w:r w:rsidR="008E01F6">
        <w:rPr>
          <w:rFonts w:ascii="Arial" w:hAnsi="Arial" w:cs="Arial"/>
          <w:szCs w:val="24"/>
        </w:rPr>
        <w:t>arrangements</w:t>
      </w:r>
    </w:p>
    <w:p w:rsidR="004C0E96" w:rsidRPr="007C0A62" w:rsidRDefault="00366471" w:rsidP="008E01F6">
      <w:pPr>
        <w:pStyle w:val="BodyTextIndent"/>
        <w:numPr>
          <w:ilvl w:val="0"/>
          <w:numId w:val="13"/>
        </w:numPr>
        <w:ind w:firstLine="131"/>
        <w:rPr>
          <w:rFonts w:ascii="Arial" w:hAnsi="Arial" w:cs="Arial"/>
          <w:szCs w:val="24"/>
        </w:rPr>
      </w:pPr>
      <w:r>
        <w:rPr>
          <w:rFonts w:ascii="Arial" w:hAnsi="Arial" w:cs="Arial"/>
          <w:szCs w:val="24"/>
        </w:rPr>
        <w:t>adequate and effective internal control processes</w:t>
      </w:r>
      <w:r w:rsidR="004C0E96" w:rsidRPr="007C0A62">
        <w:rPr>
          <w:rFonts w:ascii="Arial" w:hAnsi="Arial" w:cs="Arial"/>
          <w:szCs w:val="24"/>
        </w:rPr>
        <w:t xml:space="preserve"> </w:t>
      </w:r>
    </w:p>
    <w:p w:rsidR="00773307" w:rsidRDefault="00773307" w:rsidP="0086012D">
      <w:pPr>
        <w:pStyle w:val="BodyTextIndent"/>
        <w:rPr>
          <w:rFonts w:ascii="Arial" w:hAnsi="Arial" w:cs="Arial"/>
          <w:szCs w:val="24"/>
        </w:rPr>
      </w:pPr>
    </w:p>
    <w:p w:rsidR="004251EA" w:rsidRDefault="004251EA" w:rsidP="0086012D">
      <w:pPr>
        <w:pStyle w:val="BodyTextIndent"/>
        <w:rPr>
          <w:rFonts w:ascii="Arial" w:hAnsi="Arial" w:cs="Arial"/>
          <w:szCs w:val="24"/>
        </w:rPr>
      </w:pPr>
    </w:p>
    <w:p w:rsidR="004251EA" w:rsidRDefault="004251EA" w:rsidP="0086012D">
      <w:pPr>
        <w:pStyle w:val="BodyTextIndent"/>
        <w:rPr>
          <w:rFonts w:ascii="Arial" w:hAnsi="Arial" w:cs="Arial"/>
          <w:szCs w:val="24"/>
        </w:rPr>
      </w:pPr>
    </w:p>
    <w:p w:rsidR="004251EA" w:rsidRDefault="004251EA" w:rsidP="0086012D">
      <w:pPr>
        <w:pStyle w:val="BodyTextIndent"/>
        <w:rPr>
          <w:rFonts w:ascii="Arial" w:hAnsi="Arial" w:cs="Arial"/>
          <w:szCs w:val="24"/>
        </w:rPr>
      </w:pPr>
    </w:p>
    <w:p w:rsidR="004251EA" w:rsidRDefault="004251EA" w:rsidP="0086012D">
      <w:pPr>
        <w:pStyle w:val="BodyTextIndent"/>
        <w:rPr>
          <w:rFonts w:ascii="Arial" w:hAnsi="Arial" w:cs="Arial"/>
          <w:szCs w:val="24"/>
        </w:rPr>
      </w:pPr>
    </w:p>
    <w:p w:rsidR="004251EA" w:rsidRDefault="004251EA" w:rsidP="0086012D">
      <w:pPr>
        <w:pStyle w:val="BodyTextIndent"/>
        <w:rPr>
          <w:rFonts w:ascii="Arial" w:hAnsi="Arial" w:cs="Arial"/>
          <w:szCs w:val="24"/>
        </w:rPr>
      </w:pPr>
    </w:p>
    <w:p w:rsidR="00C82946" w:rsidRPr="007C0A62" w:rsidRDefault="00DD7053" w:rsidP="009349E0">
      <w:pPr>
        <w:pStyle w:val="Heading4"/>
        <w:rPr>
          <w:rFonts w:ascii="Arial" w:hAnsi="Arial" w:cs="Arial"/>
          <w:b/>
          <w:szCs w:val="24"/>
          <w:u w:val="none"/>
        </w:rPr>
      </w:pPr>
      <w:r w:rsidRPr="007C0A62">
        <w:rPr>
          <w:rFonts w:ascii="Arial" w:hAnsi="Arial" w:cs="Arial"/>
          <w:b/>
          <w:szCs w:val="24"/>
          <w:u w:val="none"/>
        </w:rPr>
        <w:t>OP</w:t>
      </w:r>
      <w:r w:rsidR="00C82946" w:rsidRPr="007C0A62">
        <w:rPr>
          <w:rFonts w:ascii="Arial" w:hAnsi="Arial" w:cs="Arial"/>
          <w:b/>
          <w:szCs w:val="24"/>
          <w:u w:val="none"/>
        </w:rPr>
        <w:t>TIONS AVAILABLE</w:t>
      </w:r>
    </w:p>
    <w:p w:rsidR="00C82946" w:rsidRPr="007C0A62" w:rsidRDefault="00C82946" w:rsidP="009349E0">
      <w:pPr>
        <w:pStyle w:val="Heading4"/>
        <w:tabs>
          <w:tab w:val="clear" w:pos="720"/>
        </w:tabs>
        <w:ind w:left="0" w:firstLine="0"/>
        <w:rPr>
          <w:rFonts w:ascii="Arial" w:hAnsi="Arial" w:cs="Arial"/>
          <w:szCs w:val="24"/>
        </w:rPr>
      </w:pPr>
    </w:p>
    <w:p w:rsidR="00C82946" w:rsidRPr="00304BD4" w:rsidRDefault="00540588" w:rsidP="009349E0">
      <w:pPr>
        <w:pStyle w:val="Heading4"/>
        <w:tabs>
          <w:tab w:val="clear" w:pos="720"/>
        </w:tabs>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options available are to either accept the </w:t>
      </w:r>
      <w:r w:rsidR="0086012D">
        <w:rPr>
          <w:rFonts w:ascii="Arial" w:hAnsi="Arial" w:cs="Arial"/>
          <w:szCs w:val="24"/>
          <w:u w:val="none"/>
        </w:rPr>
        <w:t>Corporate</w:t>
      </w:r>
      <w:r w:rsidR="00AB5B37">
        <w:rPr>
          <w:rFonts w:ascii="Arial" w:hAnsi="Arial" w:cs="Arial"/>
          <w:szCs w:val="24"/>
          <w:u w:val="none"/>
        </w:rPr>
        <w:t xml:space="preserve"> Assurance Manager</w:t>
      </w:r>
      <w:r>
        <w:rPr>
          <w:rFonts w:ascii="Arial" w:hAnsi="Arial" w:cs="Arial"/>
          <w:szCs w:val="24"/>
          <w:u w:val="none"/>
        </w:rPr>
        <w:t xml:space="preserve">’s opinion on the </w:t>
      </w:r>
      <w:r w:rsidR="00CB1243">
        <w:rPr>
          <w:rFonts w:ascii="Arial" w:hAnsi="Arial" w:cs="Arial"/>
          <w:szCs w:val="24"/>
          <w:u w:val="none"/>
        </w:rPr>
        <w:t>Council’s governance, risk and opportunity management and internal control arrangements</w:t>
      </w:r>
      <w:r>
        <w:rPr>
          <w:rFonts w:ascii="Arial" w:hAnsi="Arial" w:cs="Arial"/>
          <w:szCs w:val="24"/>
          <w:u w:val="none"/>
        </w:rPr>
        <w:t xml:space="preserve"> or to challenge the basis on which the opinion was reached.</w:t>
      </w:r>
    </w:p>
    <w:p w:rsidR="00773307" w:rsidRDefault="00773307" w:rsidP="00773307"/>
    <w:p w:rsidR="00953111" w:rsidRDefault="00953111" w:rsidP="00953111">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953111" w:rsidRDefault="00953111" w:rsidP="00953111">
      <w:pPr>
        <w:ind w:right="-27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773"/>
        <w:gridCol w:w="979"/>
        <w:gridCol w:w="3086"/>
      </w:tblGrid>
      <w:tr w:rsidR="00953111" w:rsidRPr="000E72F6" w:rsidTr="000E72F6">
        <w:tc>
          <w:tcPr>
            <w:tcW w:w="1559" w:type="dxa"/>
            <w:shd w:val="clear" w:color="auto" w:fill="auto"/>
          </w:tcPr>
          <w:p w:rsidR="00953111" w:rsidRPr="000E72F6" w:rsidRDefault="00953111" w:rsidP="001436A5">
            <w:pPr>
              <w:ind w:right="-270"/>
              <w:jc w:val="center"/>
              <w:rPr>
                <w:rFonts w:ascii="Arial" w:hAnsi="Arial" w:cs="Arial"/>
                <w:b/>
                <w:sz w:val="24"/>
                <w:szCs w:val="24"/>
              </w:rPr>
            </w:pPr>
            <w:r w:rsidRPr="000E72F6">
              <w:rPr>
                <w:rFonts w:ascii="Arial" w:hAnsi="Arial" w:cs="Arial"/>
                <w:b/>
                <w:sz w:val="24"/>
                <w:szCs w:val="24"/>
              </w:rPr>
              <w:t>Risk</w:t>
            </w:r>
          </w:p>
        </w:tc>
        <w:tc>
          <w:tcPr>
            <w:tcW w:w="2835" w:type="dxa"/>
            <w:shd w:val="clear" w:color="auto" w:fill="auto"/>
          </w:tcPr>
          <w:p w:rsidR="00953111" w:rsidRPr="000E72F6" w:rsidRDefault="00953111" w:rsidP="000E72F6">
            <w:pPr>
              <w:ind w:right="-270"/>
              <w:rPr>
                <w:rFonts w:ascii="Arial" w:hAnsi="Arial" w:cs="Arial"/>
                <w:b/>
                <w:sz w:val="24"/>
                <w:szCs w:val="24"/>
              </w:rPr>
            </w:pPr>
            <w:r w:rsidRPr="000E72F6">
              <w:rPr>
                <w:rFonts w:ascii="Arial" w:hAnsi="Arial" w:cs="Arial"/>
                <w:b/>
                <w:sz w:val="24"/>
                <w:szCs w:val="24"/>
              </w:rPr>
              <w:t>Risk Assessment</w:t>
            </w:r>
          </w:p>
        </w:tc>
        <w:tc>
          <w:tcPr>
            <w:tcW w:w="993" w:type="dxa"/>
            <w:shd w:val="clear" w:color="auto" w:fill="auto"/>
          </w:tcPr>
          <w:p w:rsidR="00953111" w:rsidRPr="000E72F6" w:rsidRDefault="00953111" w:rsidP="000E72F6">
            <w:pPr>
              <w:ind w:right="-270"/>
              <w:rPr>
                <w:rFonts w:ascii="Arial" w:hAnsi="Arial" w:cs="Arial"/>
                <w:b/>
                <w:sz w:val="24"/>
                <w:szCs w:val="24"/>
              </w:rPr>
            </w:pPr>
            <w:r w:rsidRPr="000E72F6">
              <w:rPr>
                <w:rFonts w:ascii="Arial" w:hAnsi="Arial" w:cs="Arial"/>
                <w:b/>
                <w:sz w:val="24"/>
                <w:szCs w:val="24"/>
              </w:rPr>
              <w:t>Risk Level</w:t>
            </w:r>
          </w:p>
        </w:tc>
        <w:tc>
          <w:tcPr>
            <w:tcW w:w="3219" w:type="dxa"/>
            <w:shd w:val="clear" w:color="auto" w:fill="auto"/>
          </w:tcPr>
          <w:p w:rsidR="00953111" w:rsidRPr="000E72F6" w:rsidRDefault="00953111" w:rsidP="000E72F6">
            <w:pPr>
              <w:ind w:right="-270"/>
              <w:rPr>
                <w:rFonts w:ascii="Arial" w:hAnsi="Arial" w:cs="Arial"/>
                <w:b/>
                <w:sz w:val="24"/>
                <w:szCs w:val="24"/>
              </w:rPr>
            </w:pPr>
            <w:r w:rsidRPr="000E72F6">
              <w:rPr>
                <w:rFonts w:ascii="Arial" w:hAnsi="Arial" w:cs="Arial"/>
                <w:b/>
                <w:sz w:val="24"/>
                <w:szCs w:val="24"/>
              </w:rPr>
              <w:t>Risk Management</w:t>
            </w:r>
          </w:p>
          <w:p w:rsidR="00953111" w:rsidRPr="000E72F6" w:rsidRDefault="00953111" w:rsidP="000E72F6">
            <w:pPr>
              <w:ind w:right="-270"/>
              <w:rPr>
                <w:rFonts w:ascii="Arial" w:hAnsi="Arial" w:cs="Arial"/>
                <w:b/>
                <w:sz w:val="24"/>
                <w:szCs w:val="24"/>
              </w:rPr>
            </w:pPr>
          </w:p>
        </w:tc>
      </w:tr>
      <w:tr w:rsidR="00953111" w:rsidRPr="000E72F6" w:rsidTr="000E72F6">
        <w:tc>
          <w:tcPr>
            <w:tcW w:w="1559" w:type="dxa"/>
            <w:shd w:val="clear" w:color="auto" w:fill="auto"/>
          </w:tcPr>
          <w:p w:rsidR="00953111" w:rsidRPr="000E72F6" w:rsidRDefault="00953111" w:rsidP="000E72F6">
            <w:pPr>
              <w:ind w:right="-270"/>
              <w:rPr>
                <w:rFonts w:ascii="Arial" w:hAnsi="Arial" w:cs="Arial"/>
                <w:sz w:val="24"/>
                <w:szCs w:val="24"/>
              </w:rPr>
            </w:pPr>
            <w:r w:rsidRPr="000E72F6">
              <w:rPr>
                <w:rFonts w:ascii="Arial" w:hAnsi="Arial" w:cs="Arial"/>
                <w:sz w:val="24"/>
                <w:szCs w:val="24"/>
              </w:rPr>
              <w:t>Legal</w:t>
            </w:r>
          </w:p>
        </w:tc>
        <w:tc>
          <w:tcPr>
            <w:tcW w:w="2835" w:type="dxa"/>
            <w:shd w:val="clear" w:color="auto" w:fill="auto"/>
          </w:tcPr>
          <w:p w:rsidR="00CF4B42" w:rsidRPr="000E72F6" w:rsidRDefault="003B0CAC" w:rsidP="000E72F6">
            <w:pPr>
              <w:ind w:right="33"/>
              <w:rPr>
                <w:rFonts w:ascii="Arial" w:hAnsi="Arial" w:cs="Arial"/>
                <w:sz w:val="24"/>
                <w:szCs w:val="24"/>
              </w:rPr>
            </w:pPr>
            <w:r w:rsidRPr="000E72F6">
              <w:rPr>
                <w:rFonts w:ascii="Arial" w:hAnsi="Arial" w:cs="Arial"/>
                <w:sz w:val="24"/>
                <w:szCs w:val="24"/>
              </w:rPr>
              <w:t xml:space="preserve">The </w:t>
            </w:r>
            <w:r w:rsidR="00466B8D">
              <w:rPr>
                <w:rFonts w:ascii="Arial" w:hAnsi="Arial" w:cs="Arial"/>
                <w:sz w:val="24"/>
                <w:szCs w:val="24"/>
              </w:rPr>
              <w:t xml:space="preserve">PSIAS and </w:t>
            </w:r>
            <w:r w:rsidRPr="000E72F6">
              <w:rPr>
                <w:rFonts w:ascii="Arial" w:hAnsi="Arial" w:cs="Arial"/>
                <w:sz w:val="24"/>
                <w:szCs w:val="24"/>
              </w:rPr>
              <w:t>CIPFA</w:t>
            </w:r>
            <w:r w:rsidR="00466B8D">
              <w:rPr>
                <w:rFonts w:ascii="Arial" w:hAnsi="Arial" w:cs="Arial"/>
                <w:sz w:val="24"/>
                <w:szCs w:val="24"/>
              </w:rPr>
              <w:t>’s</w:t>
            </w:r>
            <w:r w:rsidRPr="000E72F6">
              <w:rPr>
                <w:rFonts w:ascii="Arial" w:hAnsi="Arial" w:cs="Arial"/>
                <w:sz w:val="24"/>
                <w:szCs w:val="24"/>
              </w:rPr>
              <w:t xml:space="preserve"> </w:t>
            </w:r>
            <w:r w:rsidR="00466B8D">
              <w:rPr>
                <w:rFonts w:ascii="Arial" w:hAnsi="Arial" w:cs="Arial"/>
                <w:sz w:val="24"/>
                <w:szCs w:val="24"/>
              </w:rPr>
              <w:t>Local Government Application Note</w:t>
            </w:r>
            <w:r w:rsidRPr="000E72F6">
              <w:rPr>
                <w:rFonts w:ascii="Arial" w:hAnsi="Arial" w:cs="Arial"/>
                <w:sz w:val="24"/>
                <w:szCs w:val="24"/>
              </w:rPr>
              <w:t xml:space="preserve"> will not be fully complied with unless the </w:t>
            </w:r>
            <w:r w:rsidR="0086012D">
              <w:rPr>
                <w:rFonts w:ascii="Arial" w:hAnsi="Arial" w:cs="Arial"/>
                <w:sz w:val="24"/>
                <w:szCs w:val="24"/>
              </w:rPr>
              <w:t>Corporate</w:t>
            </w:r>
            <w:r w:rsidR="00AB5B37">
              <w:rPr>
                <w:rFonts w:ascii="Arial" w:hAnsi="Arial" w:cs="Arial"/>
                <w:sz w:val="24"/>
                <w:szCs w:val="24"/>
              </w:rPr>
              <w:t xml:space="preserve"> </w:t>
            </w:r>
            <w:r w:rsidR="001436A5">
              <w:rPr>
                <w:rFonts w:ascii="Arial" w:hAnsi="Arial" w:cs="Arial"/>
                <w:sz w:val="24"/>
                <w:szCs w:val="24"/>
              </w:rPr>
              <w:t>A</w:t>
            </w:r>
            <w:r w:rsidR="00AB5B37">
              <w:rPr>
                <w:rFonts w:ascii="Arial" w:hAnsi="Arial" w:cs="Arial"/>
                <w:sz w:val="24"/>
                <w:szCs w:val="24"/>
              </w:rPr>
              <w:t>ssurance Manager</w:t>
            </w:r>
            <w:r w:rsidRPr="000E72F6">
              <w:rPr>
                <w:rFonts w:ascii="Arial" w:hAnsi="Arial" w:cs="Arial"/>
                <w:sz w:val="24"/>
                <w:szCs w:val="24"/>
              </w:rPr>
              <w:t xml:space="preserve">’s annual report is accepted by the </w:t>
            </w:r>
            <w:r w:rsidR="00DD2ECA">
              <w:rPr>
                <w:rFonts w:ascii="Arial" w:hAnsi="Arial" w:cs="Arial"/>
                <w:sz w:val="24"/>
                <w:szCs w:val="24"/>
              </w:rPr>
              <w:t>Governance and Ethics</w:t>
            </w:r>
            <w:r w:rsidRPr="000E72F6">
              <w:rPr>
                <w:rFonts w:ascii="Arial" w:hAnsi="Arial" w:cs="Arial"/>
                <w:sz w:val="24"/>
                <w:szCs w:val="24"/>
              </w:rPr>
              <w:t xml:space="preserve"> Committee </w:t>
            </w:r>
          </w:p>
          <w:p w:rsidR="00D57F9A" w:rsidRPr="000E72F6" w:rsidRDefault="00D57F9A" w:rsidP="000E72F6">
            <w:pPr>
              <w:ind w:right="33"/>
              <w:rPr>
                <w:rFonts w:ascii="Arial" w:hAnsi="Arial" w:cs="Arial"/>
                <w:sz w:val="24"/>
                <w:szCs w:val="24"/>
              </w:rPr>
            </w:pPr>
          </w:p>
        </w:tc>
        <w:tc>
          <w:tcPr>
            <w:tcW w:w="993" w:type="dxa"/>
            <w:shd w:val="clear" w:color="auto" w:fill="auto"/>
          </w:tcPr>
          <w:p w:rsidR="00953111" w:rsidRPr="000E72F6" w:rsidRDefault="00953111" w:rsidP="000E72F6">
            <w:pPr>
              <w:ind w:right="-270"/>
              <w:rPr>
                <w:rFonts w:ascii="Arial" w:hAnsi="Arial" w:cs="Arial"/>
                <w:sz w:val="24"/>
                <w:szCs w:val="24"/>
              </w:rPr>
            </w:pPr>
            <w:r w:rsidRPr="000E72F6">
              <w:rPr>
                <w:rFonts w:ascii="Arial" w:hAnsi="Arial" w:cs="Arial"/>
                <w:sz w:val="24"/>
                <w:szCs w:val="24"/>
              </w:rPr>
              <w:t>Low</w:t>
            </w:r>
          </w:p>
        </w:tc>
        <w:tc>
          <w:tcPr>
            <w:tcW w:w="3219" w:type="dxa"/>
            <w:shd w:val="clear" w:color="auto" w:fill="auto"/>
          </w:tcPr>
          <w:p w:rsidR="00953111" w:rsidRDefault="003B0CAC" w:rsidP="002D1B1F">
            <w:pPr>
              <w:rPr>
                <w:rFonts w:ascii="Arial" w:hAnsi="Arial" w:cs="Arial"/>
                <w:sz w:val="24"/>
                <w:szCs w:val="24"/>
              </w:rPr>
            </w:pPr>
            <w:r w:rsidRPr="000E72F6">
              <w:rPr>
                <w:rFonts w:ascii="Arial" w:hAnsi="Arial" w:cs="Arial"/>
                <w:sz w:val="24"/>
                <w:szCs w:val="24"/>
              </w:rPr>
              <w:t xml:space="preserve">This report is fully compliant with the </w:t>
            </w:r>
            <w:r w:rsidR="00466B8D">
              <w:rPr>
                <w:rFonts w:ascii="Arial" w:hAnsi="Arial" w:cs="Arial"/>
                <w:sz w:val="24"/>
                <w:szCs w:val="24"/>
              </w:rPr>
              <w:t xml:space="preserve">PSIAS and </w:t>
            </w:r>
            <w:r w:rsidRPr="000E72F6">
              <w:rPr>
                <w:rFonts w:ascii="Arial" w:hAnsi="Arial" w:cs="Arial"/>
                <w:sz w:val="24"/>
                <w:szCs w:val="24"/>
              </w:rPr>
              <w:t>CIPFA</w:t>
            </w:r>
            <w:r w:rsidR="00466B8D">
              <w:rPr>
                <w:rFonts w:ascii="Arial" w:hAnsi="Arial" w:cs="Arial"/>
                <w:sz w:val="24"/>
                <w:szCs w:val="24"/>
              </w:rPr>
              <w:t>’s</w:t>
            </w:r>
            <w:r w:rsidRPr="000E72F6">
              <w:rPr>
                <w:rFonts w:ascii="Arial" w:hAnsi="Arial" w:cs="Arial"/>
                <w:sz w:val="24"/>
                <w:szCs w:val="24"/>
              </w:rPr>
              <w:t xml:space="preserve"> </w:t>
            </w:r>
            <w:r w:rsidR="00466B8D">
              <w:rPr>
                <w:rFonts w:ascii="Arial" w:hAnsi="Arial" w:cs="Arial"/>
                <w:sz w:val="24"/>
                <w:szCs w:val="24"/>
              </w:rPr>
              <w:t>Local Government Application Note</w:t>
            </w:r>
            <w:r w:rsidRPr="000E72F6">
              <w:rPr>
                <w:rFonts w:ascii="Arial" w:hAnsi="Arial" w:cs="Arial"/>
                <w:sz w:val="24"/>
                <w:szCs w:val="24"/>
              </w:rPr>
              <w:t xml:space="preserve"> and contains an </w:t>
            </w:r>
            <w:r w:rsidR="002D1B1F">
              <w:rPr>
                <w:rFonts w:ascii="Arial" w:hAnsi="Arial" w:cs="Arial"/>
                <w:sz w:val="24"/>
                <w:szCs w:val="24"/>
              </w:rPr>
              <w:t xml:space="preserve">opinion statement by the </w:t>
            </w:r>
            <w:r w:rsidR="0086012D">
              <w:rPr>
                <w:rFonts w:ascii="Arial" w:hAnsi="Arial" w:cs="Arial"/>
                <w:sz w:val="24"/>
                <w:szCs w:val="24"/>
              </w:rPr>
              <w:t>Corporate</w:t>
            </w:r>
            <w:r w:rsidR="002D1B1F">
              <w:rPr>
                <w:rFonts w:ascii="Arial" w:hAnsi="Arial" w:cs="Arial"/>
                <w:sz w:val="24"/>
                <w:szCs w:val="24"/>
              </w:rPr>
              <w:t xml:space="preserve"> Assurance Manager on the Council’s governance, risk and opportunity management</w:t>
            </w:r>
            <w:r w:rsidR="00E74190">
              <w:rPr>
                <w:rFonts w:ascii="Arial" w:hAnsi="Arial" w:cs="Arial"/>
                <w:sz w:val="24"/>
                <w:szCs w:val="24"/>
              </w:rPr>
              <w:t xml:space="preserve"> and internal control arrangements</w:t>
            </w:r>
          </w:p>
          <w:p w:rsidR="00E74190" w:rsidRPr="000E72F6" w:rsidRDefault="00E74190" w:rsidP="002D1B1F">
            <w:pPr>
              <w:rPr>
                <w:rFonts w:ascii="Arial" w:hAnsi="Arial" w:cs="Arial"/>
                <w:sz w:val="24"/>
                <w:szCs w:val="24"/>
              </w:rPr>
            </w:pPr>
          </w:p>
        </w:tc>
      </w:tr>
      <w:tr w:rsidR="00656E3F" w:rsidRPr="000E72F6" w:rsidTr="000E72F6">
        <w:tc>
          <w:tcPr>
            <w:tcW w:w="1559" w:type="dxa"/>
            <w:shd w:val="clear" w:color="auto" w:fill="auto"/>
          </w:tcPr>
          <w:p w:rsidR="00656E3F" w:rsidRPr="000E72F6" w:rsidRDefault="00656E3F" w:rsidP="000E72F6">
            <w:pPr>
              <w:ind w:right="-270"/>
              <w:rPr>
                <w:rFonts w:ascii="Arial" w:hAnsi="Arial" w:cs="Arial"/>
                <w:sz w:val="24"/>
                <w:szCs w:val="24"/>
              </w:rPr>
            </w:pPr>
            <w:r w:rsidRPr="000E72F6">
              <w:rPr>
                <w:rFonts w:ascii="Arial" w:hAnsi="Arial" w:cs="Arial"/>
                <w:sz w:val="24"/>
                <w:szCs w:val="24"/>
              </w:rPr>
              <w:t>Financial</w:t>
            </w:r>
          </w:p>
        </w:tc>
        <w:tc>
          <w:tcPr>
            <w:tcW w:w="2835" w:type="dxa"/>
            <w:shd w:val="clear" w:color="auto" w:fill="auto"/>
          </w:tcPr>
          <w:p w:rsidR="006D0712" w:rsidRPr="000E72F6" w:rsidRDefault="00656E3F" w:rsidP="000E72F6">
            <w:pPr>
              <w:ind w:right="-108"/>
              <w:rPr>
                <w:rFonts w:ascii="Arial" w:hAnsi="Arial" w:cs="Arial"/>
                <w:sz w:val="24"/>
                <w:szCs w:val="24"/>
              </w:rPr>
            </w:pPr>
            <w:r w:rsidRPr="000E72F6">
              <w:rPr>
                <w:rFonts w:ascii="Arial" w:hAnsi="Arial" w:cs="Arial"/>
                <w:sz w:val="24"/>
                <w:szCs w:val="24"/>
              </w:rPr>
              <w:t>There are no financial risks to the Council of the recommendations or options</w:t>
            </w:r>
          </w:p>
          <w:p w:rsidR="005917AD" w:rsidRPr="000E72F6" w:rsidRDefault="005917AD" w:rsidP="000E72F6">
            <w:pPr>
              <w:ind w:right="-108"/>
              <w:rPr>
                <w:rFonts w:ascii="Arial" w:hAnsi="Arial" w:cs="Arial"/>
                <w:sz w:val="24"/>
                <w:szCs w:val="24"/>
              </w:rPr>
            </w:pPr>
          </w:p>
        </w:tc>
        <w:tc>
          <w:tcPr>
            <w:tcW w:w="993" w:type="dxa"/>
            <w:shd w:val="clear" w:color="auto" w:fill="auto"/>
          </w:tcPr>
          <w:p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c>
          <w:tcPr>
            <w:tcW w:w="3219" w:type="dxa"/>
            <w:shd w:val="clear" w:color="auto" w:fill="auto"/>
          </w:tcPr>
          <w:p w:rsidR="00656E3F" w:rsidRPr="000E72F6" w:rsidRDefault="00656E3F" w:rsidP="000E72F6">
            <w:pPr>
              <w:ind w:left="34" w:right="-270"/>
              <w:rPr>
                <w:rFonts w:ascii="Arial" w:hAnsi="Arial" w:cs="Arial"/>
                <w:sz w:val="24"/>
                <w:szCs w:val="24"/>
              </w:rPr>
            </w:pPr>
            <w:r w:rsidRPr="000E72F6">
              <w:rPr>
                <w:rFonts w:ascii="Arial" w:hAnsi="Arial" w:cs="Arial"/>
                <w:sz w:val="24"/>
                <w:szCs w:val="24"/>
              </w:rPr>
              <w:t>-</w:t>
            </w:r>
          </w:p>
        </w:tc>
      </w:tr>
      <w:tr w:rsidR="00656E3F" w:rsidRPr="000E72F6" w:rsidTr="000E72F6">
        <w:tc>
          <w:tcPr>
            <w:tcW w:w="1559" w:type="dxa"/>
            <w:shd w:val="clear" w:color="auto" w:fill="auto"/>
          </w:tcPr>
          <w:p w:rsidR="00656E3F" w:rsidRPr="000E72F6" w:rsidRDefault="00656E3F" w:rsidP="000E72F6">
            <w:pPr>
              <w:ind w:right="-270"/>
              <w:rPr>
                <w:rFonts w:ascii="Arial" w:hAnsi="Arial" w:cs="Arial"/>
                <w:sz w:val="24"/>
                <w:szCs w:val="24"/>
              </w:rPr>
            </w:pPr>
            <w:r w:rsidRPr="000E72F6">
              <w:rPr>
                <w:rFonts w:ascii="Arial" w:hAnsi="Arial" w:cs="Arial"/>
                <w:sz w:val="24"/>
                <w:szCs w:val="24"/>
              </w:rPr>
              <w:t>Reputation</w:t>
            </w:r>
          </w:p>
        </w:tc>
        <w:tc>
          <w:tcPr>
            <w:tcW w:w="2835" w:type="dxa"/>
            <w:shd w:val="clear" w:color="auto" w:fill="auto"/>
          </w:tcPr>
          <w:p w:rsidR="00656E3F" w:rsidRPr="000E72F6" w:rsidRDefault="00656E3F" w:rsidP="003B0CAC">
            <w:pPr>
              <w:rPr>
                <w:rFonts w:ascii="Arial" w:hAnsi="Arial" w:cs="Arial"/>
                <w:sz w:val="24"/>
                <w:szCs w:val="24"/>
              </w:rPr>
            </w:pPr>
            <w:r w:rsidRPr="000E72F6">
              <w:rPr>
                <w:rFonts w:ascii="Arial" w:hAnsi="Arial" w:cs="Arial"/>
                <w:sz w:val="24"/>
                <w:szCs w:val="24"/>
              </w:rPr>
              <w:t xml:space="preserve">There are no reputational risks to the Council of the recommendations or options  </w:t>
            </w:r>
          </w:p>
          <w:p w:rsidR="00363662" w:rsidRPr="000E72F6" w:rsidRDefault="00363662" w:rsidP="003B0CAC">
            <w:pPr>
              <w:rPr>
                <w:rFonts w:ascii="Arial" w:hAnsi="Arial" w:cs="Arial"/>
                <w:sz w:val="24"/>
                <w:szCs w:val="24"/>
              </w:rPr>
            </w:pPr>
          </w:p>
        </w:tc>
        <w:tc>
          <w:tcPr>
            <w:tcW w:w="993" w:type="dxa"/>
            <w:shd w:val="clear" w:color="auto" w:fill="auto"/>
          </w:tcPr>
          <w:p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c>
          <w:tcPr>
            <w:tcW w:w="3219" w:type="dxa"/>
            <w:shd w:val="clear" w:color="auto" w:fill="auto"/>
          </w:tcPr>
          <w:p w:rsidR="00656E3F" w:rsidRPr="000E72F6" w:rsidRDefault="00656E3F" w:rsidP="000E72F6">
            <w:pPr>
              <w:ind w:right="-270"/>
              <w:rPr>
                <w:rFonts w:ascii="Arial" w:hAnsi="Arial" w:cs="Arial"/>
                <w:sz w:val="24"/>
                <w:szCs w:val="24"/>
              </w:rPr>
            </w:pPr>
            <w:r w:rsidRPr="000E72F6">
              <w:rPr>
                <w:rFonts w:ascii="Arial" w:hAnsi="Arial" w:cs="Arial"/>
                <w:sz w:val="24"/>
                <w:szCs w:val="24"/>
              </w:rPr>
              <w:t>-</w:t>
            </w:r>
          </w:p>
        </w:tc>
      </w:tr>
    </w:tbl>
    <w:p w:rsidR="00953111" w:rsidRDefault="00953111" w:rsidP="00953111">
      <w:pPr>
        <w:ind w:right="-270"/>
        <w:rPr>
          <w:rFonts w:ascii="Arial" w:hAnsi="Arial" w:cs="Arial"/>
          <w:sz w:val="24"/>
          <w:szCs w:val="24"/>
        </w:rPr>
      </w:pPr>
    </w:p>
    <w:p w:rsidR="00953111" w:rsidRPr="008702DA" w:rsidRDefault="00953111" w:rsidP="00953111">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953111" w:rsidRPr="00304BD4" w:rsidRDefault="00953111" w:rsidP="00953111">
      <w:pPr>
        <w:ind w:right="-270"/>
        <w:rPr>
          <w:rFonts w:ascii="Arial" w:hAnsi="Arial" w:cs="Arial"/>
          <w:sz w:val="24"/>
          <w:szCs w:val="24"/>
        </w:rPr>
      </w:pPr>
    </w:p>
    <w:p w:rsidR="00953111" w:rsidRPr="00304BD4" w:rsidRDefault="003B0CAC" w:rsidP="00953111">
      <w:pPr>
        <w:pStyle w:val="BodyText"/>
        <w:ind w:left="720" w:right="-270" w:hanging="720"/>
        <w:rPr>
          <w:rFonts w:ascii="Arial" w:hAnsi="Arial" w:cs="Arial"/>
          <w:szCs w:val="24"/>
        </w:rPr>
      </w:pPr>
      <w:r>
        <w:rPr>
          <w:rFonts w:ascii="Arial" w:hAnsi="Arial" w:cs="Arial"/>
          <w:szCs w:val="24"/>
        </w:rPr>
        <w:t>6</w:t>
      </w:r>
      <w:r w:rsidR="00953111">
        <w:rPr>
          <w:rFonts w:ascii="Arial" w:hAnsi="Arial" w:cs="Arial"/>
          <w:szCs w:val="24"/>
        </w:rPr>
        <w:t>.1</w:t>
      </w:r>
      <w:r w:rsidR="00953111">
        <w:rPr>
          <w:rFonts w:ascii="Arial" w:hAnsi="Arial" w:cs="Arial"/>
          <w:szCs w:val="24"/>
        </w:rPr>
        <w:tab/>
      </w:r>
      <w:r w:rsidR="00B037FD">
        <w:rPr>
          <w:rFonts w:ascii="Arial" w:hAnsi="Arial" w:cs="Arial"/>
          <w:szCs w:val="24"/>
        </w:rPr>
        <w:t xml:space="preserve">The need to maintain an effective Internal </w:t>
      </w:r>
      <w:smartTag w:uri="urn:schemas-microsoft-com:office:smarttags" w:element="PersonName">
        <w:r w:rsidR="00B037FD">
          <w:rPr>
            <w:rFonts w:ascii="Arial" w:hAnsi="Arial" w:cs="Arial"/>
            <w:szCs w:val="24"/>
          </w:rPr>
          <w:t>Audit</w:t>
        </w:r>
      </w:smartTag>
      <w:r w:rsidR="00B037FD">
        <w:rPr>
          <w:rFonts w:ascii="Arial" w:hAnsi="Arial" w:cs="Arial"/>
          <w:szCs w:val="24"/>
        </w:rPr>
        <w:t xml:space="preserve"> Service is fundamental to any Council as it endeavours to achieve its priorities. </w:t>
      </w:r>
    </w:p>
    <w:p w:rsidR="00DA5B01" w:rsidRDefault="00DA5B01" w:rsidP="00953111">
      <w:pPr>
        <w:ind w:right="-270"/>
        <w:rPr>
          <w:rFonts w:ascii="Arial" w:hAnsi="Arial" w:cs="Arial"/>
          <w:sz w:val="24"/>
          <w:szCs w:val="24"/>
          <w:u w:val="single"/>
        </w:rPr>
      </w:pPr>
    </w:p>
    <w:p w:rsidR="0086012D" w:rsidRDefault="0086012D" w:rsidP="00953111">
      <w:pPr>
        <w:ind w:right="-270"/>
        <w:rPr>
          <w:rFonts w:ascii="Arial" w:hAnsi="Arial" w:cs="Arial"/>
          <w:sz w:val="24"/>
          <w:szCs w:val="24"/>
          <w:u w:val="single"/>
        </w:rPr>
      </w:pPr>
    </w:p>
    <w:p w:rsidR="0086012D" w:rsidRDefault="0086012D" w:rsidP="00953111">
      <w:pPr>
        <w:ind w:right="-270"/>
        <w:rPr>
          <w:rFonts w:ascii="Arial" w:hAnsi="Arial" w:cs="Arial"/>
          <w:sz w:val="24"/>
          <w:szCs w:val="24"/>
          <w:u w:val="single"/>
        </w:rPr>
      </w:pPr>
    </w:p>
    <w:p w:rsidR="0086012D" w:rsidRDefault="0086012D" w:rsidP="00953111">
      <w:pPr>
        <w:ind w:right="-270"/>
        <w:rPr>
          <w:rFonts w:ascii="Arial" w:hAnsi="Arial" w:cs="Arial"/>
          <w:sz w:val="24"/>
          <w:szCs w:val="24"/>
          <w:u w:val="single"/>
        </w:rPr>
      </w:pPr>
    </w:p>
    <w:p w:rsidR="0086012D" w:rsidRDefault="0086012D" w:rsidP="00953111">
      <w:pPr>
        <w:ind w:right="-270"/>
        <w:rPr>
          <w:rFonts w:ascii="Arial" w:hAnsi="Arial" w:cs="Arial"/>
          <w:sz w:val="24"/>
          <w:szCs w:val="24"/>
          <w:u w:val="single"/>
        </w:rPr>
      </w:pPr>
    </w:p>
    <w:p w:rsidR="0086012D" w:rsidRDefault="0086012D" w:rsidP="00953111">
      <w:pPr>
        <w:ind w:right="-270"/>
        <w:rPr>
          <w:rFonts w:ascii="Arial" w:hAnsi="Arial" w:cs="Arial"/>
          <w:sz w:val="24"/>
          <w:szCs w:val="24"/>
          <w:u w:val="single"/>
        </w:rPr>
      </w:pPr>
    </w:p>
    <w:p w:rsidR="00953111" w:rsidRDefault="00953111" w:rsidP="00953111">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953111" w:rsidRDefault="00953111" w:rsidP="00953111"/>
    <w:p w:rsidR="00953111" w:rsidRPr="00494D42" w:rsidRDefault="00953111" w:rsidP="00953111">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953111" w:rsidRPr="00494D42" w:rsidRDefault="00953111" w:rsidP="00953111">
      <w:pPr>
        <w:ind w:right="-270"/>
        <w:rPr>
          <w:rFonts w:ascii="Arial" w:hAnsi="Arial" w:cs="Arial"/>
          <w:sz w:val="24"/>
          <w:szCs w:val="24"/>
        </w:rPr>
      </w:pPr>
    </w:p>
    <w:p w:rsidR="001B3C40" w:rsidRDefault="00953111" w:rsidP="001B3C40">
      <w:pPr>
        <w:ind w:left="720" w:right="-270" w:hanging="720"/>
        <w:rPr>
          <w:rFonts w:ascii="Arial" w:hAnsi="Arial" w:cs="Arial"/>
          <w:sz w:val="24"/>
          <w:szCs w:val="24"/>
        </w:rPr>
      </w:pPr>
      <w:r>
        <w:rPr>
          <w:rFonts w:ascii="Arial" w:hAnsi="Arial" w:cs="Arial"/>
          <w:sz w:val="24"/>
          <w:szCs w:val="24"/>
        </w:rPr>
        <w:tab/>
      </w:r>
      <w:r w:rsidR="001B3C40">
        <w:rPr>
          <w:rFonts w:ascii="Arial" w:hAnsi="Arial" w:cs="Arial"/>
          <w:sz w:val="24"/>
          <w:szCs w:val="24"/>
        </w:rPr>
        <w:t xml:space="preserve">Regulation </w:t>
      </w:r>
      <w:r w:rsidR="00EB7BDB">
        <w:rPr>
          <w:rFonts w:ascii="Arial" w:hAnsi="Arial" w:cs="Arial"/>
          <w:sz w:val="24"/>
          <w:szCs w:val="24"/>
        </w:rPr>
        <w:t>5</w:t>
      </w:r>
      <w:r w:rsidR="001B3C40">
        <w:rPr>
          <w:rFonts w:ascii="Arial" w:hAnsi="Arial" w:cs="Arial"/>
          <w:sz w:val="24"/>
          <w:szCs w:val="24"/>
        </w:rPr>
        <w:t xml:space="preserve"> of the Accounts and </w:t>
      </w:r>
      <w:smartTag w:uri="urn:schemas-microsoft-com:office:smarttags" w:element="PersonName">
        <w:r w:rsidR="001B3C40">
          <w:rPr>
            <w:rFonts w:ascii="Arial" w:hAnsi="Arial" w:cs="Arial"/>
            <w:sz w:val="24"/>
            <w:szCs w:val="24"/>
          </w:rPr>
          <w:t>Audit</w:t>
        </w:r>
      </w:smartTag>
      <w:r w:rsidR="001B3C40">
        <w:rPr>
          <w:rFonts w:ascii="Arial" w:hAnsi="Arial" w:cs="Arial"/>
          <w:sz w:val="24"/>
          <w:szCs w:val="24"/>
        </w:rPr>
        <w:t xml:space="preserve"> Regulations 201</w:t>
      </w:r>
      <w:r w:rsidR="00EB7BDB">
        <w:rPr>
          <w:rFonts w:ascii="Arial" w:hAnsi="Arial" w:cs="Arial"/>
          <w:sz w:val="24"/>
          <w:szCs w:val="24"/>
        </w:rPr>
        <w:t>5</w:t>
      </w:r>
      <w:r w:rsidR="001B3C40">
        <w:rPr>
          <w:rFonts w:ascii="Arial" w:hAnsi="Arial" w:cs="Arial"/>
          <w:sz w:val="24"/>
          <w:szCs w:val="24"/>
        </w:rPr>
        <w:t xml:space="preserve"> specifically requires that a relevant body must undertake an effective internal audit </w:t>
      </w:r>
      <w:r w:rsidR="00EB7BDB">
        <w:rPr>
          <w:rFonts w:ascii="Arial" w:hAnsi="Arial" w:cs="Arial"/>
          <w:sz w:val="24"/>
          <w:szCs w:val="24"/>
        </w:rPr>
        <w:t>to evaluate the effectiveness of its risk management, control and governance processes,</w:t>
      </w:r>
      <w:r w:rsidR="000877B8">
        <w:rPr>
          <w:rFonts w:ascii="Arial" w:hAnsi="Arial" w:cs="Arial"/>
          <w:sz w:val="24"/>
          <w:szCs w:val="24"/>
        </w:rPr>
        <w:t xml:space="preserve"> </w:t>
      </w:r>
      <w:r w:rsidR="00EB7BDB">
        <w:rPr>
          <w:rFonts w:ascii="Arial" w:hAnsi="Arial" w:cs="Arial"/>
          <w:sz w:val="24"/>
          <w:szCs w:val="24"/>
        </w:rPr>
        <w:t>taking into account public sector internal auditing standards or guidance</w:t>
      </w:r>
    </w:p>
    <w:p w:rsidR="006152BA" w:rsidRDefault="006152BA"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F30B61" w:rsidRDefault="00F30B6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392857" w:rsidRDefault="00392857"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ab/>
        <w:t>There are no implications for crime and disorder</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953111" w:rsidRDefault="00953111" w:rsidP="00953111">
      <w:pPr>
        <w:ind w:left="720" w:right="-270" w:hanging="720"/>
        <w:rPr>
          <w:rFonts w:ascii="Arial" w:hAnsi="Arial" w:cs="Arial"/>
          <w:sz w:val="24"/>
          <w:szCs w:val="24"/>
        </w:rPr>
      </w:pPr>
    </w:p>
    <w:p w:rsidR="00953111" w:rsidRDefault="00953111" w:rsidP="00953111">
      <w:pPr>
        <w:ind w:left="720" w:right="-270" w:hanging="720"/>
        <w:rPr>
          <w:rFonts w:ascii="Arial" w:hAnsi="Arial" w:cs="Arial"/>
          <w:sz w:val="24"/>
          <w:szCs w:val="24"/>
        </w:rPr>
      </w:pPr>
      <w:r>
        <w:rPr>
          <w:rFonts w:ascii="Arial" w:hAnsi="Arial" w:cs="Arial"/>
          <w:sz w:val="24"/>
          <w:szCs w:val="24"/>
        </w:rPr>
        <w:tab/>
        <w:t>There are no implications</w:t>
      </w:r>
    </w:p>
    <w:p w:rsidR="004C7C5F" w:rsidRDefault="004C7C5F" w:rsidP="00953111">
      <w:pPr>
        <w:ind w:right="-270"/>
        <w:rPr>
          <w:rFonts w:ascii="Arial" w:hAnsi="Arial" w:cs="Arial"/>
          <w:sz w:val="24"/>
          <w:szCs w:val="24"/>
        </w:rPr>
      </w:pPr>
    </w:p>
    <w:p w:rsidR="00953111" w:rsidRDefault="00953111" w:rsidP="00953111">
      <w:pPr>
        <w:ind w:right="-27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953111" w:rsidRDefault="00953111" w:rsidP="00953111">
      <w:pPr>
        <w:ind w:right="-270"/>
        <w:rPr>
          <w:rFonts w:ascii="Arial" w:hAnsi="Arial" w:cs="Arial"/>
          <w:sz w:val="24"/>
          <w:szCs w:val="24"/>
          <w:u w:val="single"/>
        </w:rPr>
      </w:pPr>
    </w:p>
    <w:p w:rsidR="00953111" w:rsidRDefault="00953111" w:rsidP="00AB7B31">
      <w:pPr>
        <w:ind w:left="720" w:right="-270"/>
        <w:rPr>
          <w:rFonts w:ascii="Arial" w:hAnsi="Arial" w:cs="Arial"/>
          <w:sz w:val="24"/>
          <w:szCs w:val="24"/>
        </w:rPr>
      </w:pPr>
      <w:r>
        <w:rPr>
          <w:rFonts w:ascii="Arial" w:hAnsi="Arial" w:cs="Arial"/>
          <w:sz w:val="24"/>
          <w:szCs w:val="24"/>
        </w:rPr>
        <w:t xml:space="preserve">Monitoring Officer – </w:t>
      </w:r>
      <w:r w:rsidR="00AD335E">
        <w:rPr>
          <w:rFonts w:ascii="Arial" w:hAnsi="Arial" w:cs="Arial"/>
          <w:sz w:val="24"/>
          <w:szCs w:val="24"/>
        </w:rPr>
        <w:t>No specific comments</w:t>
      </w:r>
    </w:p>
    <w:p w:rsidR="00953111" w:rsidRDefault="00953111" w:rsidP="00953111">
      <w:pPr>
        <w:ind w:right="-270"/>
        <w:rPr>
          <w:rFonts w:ascii="Arial" w:hAnsi="Arial" w:cs="Arial"/>
          <w:sz w:val="24"/>
          <w:szCs w:val="24"/>
        </w:rPr>
      </w:pPr>
    </w:p>
    <w:p w:rsidR="007819D6" w:rsidRDefault="00DA0501" w:rsidP="007819D6">
      <w:pPr>
        <w:ind w:left="720" w:right="-270"/>
        <w:rPr>
          <w:rFonts w:ascii="Arial" w:hAnsi="Arial" w:cs="Arial"/>
          <w:sz w:val="24"/>
          <w:szCs w:val="24"/>
        </w:rPr>
      </w:pPr>
      <w:r>
        <w:rPr>
          <w:rFonts w:ascii="Arial" w:hAnsi="Arial" w:cs="Arial"/>
          <w:sz w:val="24"/>
          <w:szCs w:val="24"/>
        </w:rPr>
        <w:t xml:space="preserve">Deputy </w:t>
      </w:r>
      <w:r w:rsidR="00953111">
        <w:rPr>
          <w:rFonts w:ascii="Arial" w:hAnsi="Arial" w:cs="Arial"/>
          <w:sz w:val="24"/>
          <w:szCs w:val="24"/>
        </w:rPr>
        <w:t>Section 151 Officer –</w:t>
      </w:r>
      <w:r w:rsidR="00EC27C5">
        <w:rPr>
          <w:rFonts w:ascii="Arial" w:hAnsi="Arial" w:cs="Arial"/>
          <w:sz w:val="24"/>
          <w:szCs w:val="24"/>
        </w:rPr>
        <w:t xml:space="preserve"> </w:t>
      </w:r>
      <w:r w:rsidR="0034697E">
        <w:rPr>
          <w:rFonts w:ascii="Arial" w:hAnsi="Arial" w:cs="Arial"/>
          <w:sz w:val="24"/>
          <w:szCs w:val="24"/>
        </w:rPr>
        <w:t>No specific comments</w:t>
      </w:r>
    </w:p>
    <w:p w:rsidR="00CB1243" w:rsidRDefault="00CB1243" w:rsidP="00D764A6">
      <w:pPr>
        <w:ind w:left="720"/>
        <w:rPr>
          <w:rFonts w:ascii="Arial" w:hAnsi="Arial" w:cs="Arial"/>
          <w:sz w:val="24"/>
          <w:szCs w:val="24"/>
        </w:rPr>
      </w:pPr>
    </w:p>
    <w:p w:rsidR="00953111" w:rsidRDefault="00953111" w:rsidP="00953111">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953111" w:rsidRDefault="00953111" w:rsidP="00953111">
      <w:pPr>
        <w:ind w:right="-270"/>
        <w:jc w:val="both"/>
        <w:rPr>
          <w:rFonts w:ascii="Arial" w:hAnsi="Arial" w:cs="Arial"/>
          <w:sz w:val="24"/>
          <w:szCs w:val="24"/>
        </w:rPr>
      </w:pPr>
    </w:p>
    <w:p w:rsidR="00366786" w:rsidRDefault="00953111" w:rsidP="004C7C5F">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366786">
        <w:rPr>
          <w:rFonts w:ascii="Arial" w:hAnsi="Arial" w:cs="Arial"/>
          <w:sz w:val="24"/>
          <w:szCs w:val="24"/>
        </w:rPr>
        <w:t>No other consultation has been carried out.</w:t>
      </w:r>
    </w:p>
    <w:p w:rsidR="001436A5" w:rsidRDefault="001436A5" w:rsidP="004C7C5F">
      <w:pPr>
        <w:ind w:left="720" w:right="-270" w:hanging="720"/>
        <w:jc w:val="both"/>
        <w:rPr>
          <w:rFonts w:ascii="Arial" w:hAnsi="Arial" w:cs="Arial"/>
          <w:sz w:val="24"/>
          <w:szCs w:val="24"/>
        </w:rPr>
      </w:pPr>
    </w:p>
    <w:p w:rsidR="00953111" w:rsidRPr="00304BD4" w:rsidRDefault="00953111" w:rsidP="00181C2F">
      <w:pPr>
        <w:ind w:right="-270"/>
        <w:jc w:val="both"/>
        <w:rPr>
          <w:rFonts w:ascii="Arial" w:hAnsi="Arial" w:cs="Arial"/>
          <w:sz w:val="24"/>
          <w:szCs w:val="24"/>
          <w:u w:val="single"/>
        </w:rPr>
      </w:pPr>
      <w:r>
        <w:rPr>
          <w:rFonts w:ascii="Arial" w:hAnsi="Arial" w:cs="Arial"/>
          <w:b/>
          <w:sz w:val="24"/>
          <w:szCs w:val="24"/>
        </w:rPr>
        <w:t>1</w:t>
      </w:r>
      <w:r w:rsidR="00B037FD">
        <w:rPr>
          <w:rFonts w:ascii="Arial" w:hAnsi="Arial" w:cs="Arial"/>
          <w:b/>
          <w:sz w:val="24"/>
          <w:szCs w:val="24"/>
        </w:rPr>
        <w:t>0</w:t>
      </w:r>
      <w:r w:rsidRPr="00304BD4">
        <w:rPr>
          <w:rFonts w:ascii="Arial" w:hAnsi="Arial" w:cs="Arial"/>
          <w:sz w:val="24"/>
          <w:szCs w:val="24"/>
        </w:rPr>
        <w:tab/>
      </w:r>
      <w:r w:rsidRPr="0022318C">
        <w:rPr>
          <w:rFonts w:ascii="Arial" w:hAnsi="Arial" w:cs="Arial"/>
          <w:b/>
          <w:sz w:val="24"/>
          <w:szCs w:val="24"/>
        </w:rPr>
        <w:t>BACKGROUND PAPERS</w:t>
      </w:r>
    </w:p>
    <w:p w:rsidR="00953111" w:rsidRPr="00304BD4" w:rsidRDefault="00953111" w:rsidP="00953111">
      <w:pPr>
        <w:ind w:right="-270"/>
        <w:rPr>
          <w:rFonts w:ascii="Arial" w:hAnsi="Arial" w:cs="Arial"/>
          <w:sz w:val="24"/>
          <w:szCs w:val="24"/>
          <w:u w:val="single"/>
        </w:rPr>
      </w:pPr>
    </w:p>
    <w:p w:rsidR="00953111" w:rsidRDefault="00953111" w:rsidP="00953111">
      <w:pPr>
        <w:pStyle w:val="BodyTextIndent"/>
        <w:ind w:left="0" w:right="-270"/>
        <w:rPr>
          <w:rFonts w:ascii="Arial" w:hAnsi="Arial" w:cs="Arial"/>
          <w:szCs w:val="24"/>
        </w:rPr>
      </w:pPr>
      <w:r>
        <w:rPr>
          <w:rFonts w:ascii="Arial" w:hAnsi="Arial" w:cs="Arial"/>
          <w:szCs w:val="24"/>
        </w:rPr>
        <w:tab/>
        <w:t>None</w:t>
      </w:r>
    </w:p>
    <w:p w:rsidR="00816A1D" w:rsidRDefault="00816A1D" w:rsidP="00953111">
      <w:pPr>
        <w:pStyle w:val="BodyTextIndent"/>
        <w:ind w:left="0" w:right="-270"/>
        <w:rPr>
          <w:rFonts w:ascii="Arial" w:hAnsi="Arial" w:cs="Arial"/>
          <w:szCs w:val="24"/>
        </w:rPr>
      </w:pPr>
    </w:p>
    <w:p w:rsidR="00816A1D" w:rsidRDefault="00816A1D" w:rsidP="00953111">
      <w:pPr>
        <w:pStyle w:val="BodyTextIndent"/>
        <w:ind w:left="0" w:right="-270"/>
        <w:rPr>
          <w:rFonts w:ascii="Arial" w:hAnsi="Arial" w:cs="Arial"/>
          <w:szCs w:val="24"/>
        </w:rPr>
      </w:pPr>
    </w:p>
    <w:p w:rsidR="00DA5B01" w:rsidRDefault="00DA5B01" w:rsidP="00953111">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64199D" w:rsidRPr="000E72F6" w:rsidTr="000E72F6">
        <w:tc>
          <w:tcPr>
            <w:tcW w:w="1778"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Report Author</w:t>
            </w:r>
          </w:p>
        </w:tc>
        <w:tc>
          <w:tcPr>
            <w:tcW w:w="296"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Adrian Pullen</w:t>
            </w:r>
          </w:p>
        </w:tc>
      </w:tr>
      <w:tr w:rsidR="0064199D" w:rsidRPr="000E72F6" w:rsidTr="000E72F6">
        <w:tc>
          <w:tcPr>
            <w:tcW w:w="1778"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Designation</w:t>
            </w:r>
          </w:p>
        </w:tc>
        <w:tc>
          <w:tcPr>
            <w:tcW w:w="296"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rsidR="0064199D" w:rsidRPr="000E72F6" w:rsidRDefault="00EA4802" w:rsidP="001436A5">
            <w:pPr>
              <w:jc w:val="both"/>
              <w:rPr>
                <w:rFonts w:ascii="Arial" w:hAnsi="Arial" w:cs="Arial"/>
                <w:sz w:val="24"/>
                <w:szCs w:val="24"/>
              </w:rPr>
            </w:pPr>
            <w:r>
              <w:rPr>
                <w:rFonts w:ascii="Arial" w:hAnsi="Arial" w:cs="Arial"/>
                <w:sz w:val="24"/>
                <w:szCs w:val="24"/>
              </w:rPr>
              <w:t>Corporate</w:t>
            </w:r>
            <w:r w:rsidR="00AB5B37">
              <w:rPr>
                <w:rFonts w:ascii="Arial" w:hAnsi="Arial" w:cs="Arial"/>
                <w:sz w:val="24"/>
                <w:szCs w:val="24"/>
              </w:rPr>
              <w:t xml:space="preserve"> Assurance Manager</w:t>
            </w:r>
          </w:p>
        </w:tc>
      </w:tr>
      <w:tr w:rsidR="0064199D" w:rsidRPr="000E72F6" w:rsidTr="000E72F6">
        <w:tc>
          <w:tcPr>
            <w:tcW w:w="1778"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Telephone</w:t>
            </w:r>
          </w:p>
        </w:tc>
        <w:tc>
          <w:tcPr>
            <w:tcW w:w="296"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01623 463017</w:t>
            </w:r>
          </w:p>
        </w:tc>
      </w:tr>
      <w:tr w:rsidR="0064199D" w:rsidRPr="000E72F6" w:rsidTr="000E72F6">
        <w:tc>
          <w:tcPr>
            <w:tcW w:w="1778"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E-mail</w:t>
            </w:r>
          </w:p>
        </w:tc>
        <w:tc>
          <w:tcPr>
            <w:tcW w:w="296"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w:t>
            </w:r>
          </w:p>
        </w:tc>
        <w:tc>
          <w:tcPr>
            <w:tcW w:w="6782" w:type="dxa"/>
            <w:shd w:val="clear" w:color="auto" w:fill="auto"/>
          </w:tcPr>
          <w:p w:rsidR="0064199D" w:rsidRPr="000E72F6" w:rsidRDefault="0064199D" w:rsidP="000E72F6">
            <w:pPr>
              <w:jc w:val="both"/>
              <w:rPr>
                <w:rFonts w:ascii="Arial" w:hAnsi="Arial" w:cs="Arial"/>
                <w:sz w:val="24"/>
                <w:szCs w:val="24"/>
              </w:rPr>
            </w:pPr>
            <w:r w:rsidRPr="000E72F6">
              <w:rPr>
                <w:rFonts w:ascii="Arial" w:hAnsi="Arial" w:cs="Arial"/>
                <w:sz w:val="24"/>
                <w:szCs w:val="24"/>
              </w:rPr>
              <w:t>apullen@Mansfield.gov.uk</w:t>
            </w:r>
          </w:p>
        </w:tc>
      </w:tr>
    </w:tbl>
    <w:p w:rsidR="00C82946" w:rsidRPr="00304BD4" w:rsidRDefault="00C82946" w:rsidP="009349E0">
      <w:pPr>
        <w:rPr>
          <w:rFonts w:ascii="Arial" w:hAnsi="Arial" w:cs="Arial"/>
          <w:sz w:val="24"/>
          <w:szCs w:val="24"/>
        </w:rPr>
      </w:pPr>
    </w:p>
    <w:sectPr w:rsidR="00C82946" w:rsidRPr="00304BD4" w:rsidSect="00E04535">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24" w:rsidRDefault="004B7B24">
      <w:r>
        <w:separator/>
      </w:r>
    </w:p>
  </w:endnote>
  <w:endnote w:type="continuationSeparator" w:id="0">
    <w:p w:rsidR="004B7B24" w:rsidRDefault="004B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24" w:rsidRDefault="004B7B24">
      <w:r>
        <w:separator/>
      </w:r>
    </w:p>
  </w:footnote>
  <w:footnote w:type="continuationSeparator" w:id="0">
    <w:p w:rsidR="004B7B24" w:rsidRDefault="004B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65"/>
    <w:multiLevelType w:val="hybridMultilevel"/>
    <w:tmpl w:val="3C620C7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152F6477"/>
    <w:multiLevelType w:val="multilevel"/>
    <w:tmpl w:val="424CBD6C"/>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A17F92"/>
    <w:multiLevelType w:val="hybridMultilevel"/>
    <w:tmpl w:val="D13686A4"/>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217083"/>
    <w:multiLevelType w:val="hybridMultilevel"/>
    <w:tmpl w:val="297272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B037AB"/>
    <w:multiLevelType w:val="hybridMultilevel"/>
    <w:tmpl w:val="8F4CF1E2"/>
    <w:lvl w:ilvl="0" w:tplc="0809000B">
      <w:start w:val="1"/>
      <w:numFmt w:val="bullet"/>
      <w:lvlText w:val=""/>
      <w:lvlJc w:val="left"/>
      <w:pPr>
        <w:tabs>
          <w:tab w:val="num" w:pos="1485"/>
        </w:tabs>
        <w:ind w:left="1485" w:hanging="360"/>
      </w:pPr>
      <w:rPr>
        <w:rFonts w:ascii="Wingdings" w:hAnsi="Wingdings"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6" w15:restartNumberingAfterBreak="0">
    <w:nsid w:val="341C6119"/>
    <w:multiLevelType w:val="hybridMultilevel"/>
    <w:tmpl w:val="98A2F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9E4F6C"/>
    <w:multiLevelType w:val="hybridMultilevel"/>
    <w:tmpl w:val="3104B4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141BF"/>
    <w:multiLevelType w:val="hybridMultilevel"/>
    <w:tmpl w:val="AFC48A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F2047A"/>
    <w:multiLevelType w:val="hybridMultilevel"/>
    <w:tmpl w:val="AE600650"/>
    <w:lvl w:ilvl="0" w:tplc="AF2A8B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742FE"/>
    <w:multiLevelType w:val="hybridMultilevel"/>
    <w:tmpl w:val="85C0817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6196B20"/>
    <w:multiLevelType w:val="hybridMultilevel"/>
    <w:tmpl w:val="01B6118C"/>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B3C0A92"/>
    <w:multiLevelType w:val="hybridMultilevel"/>
    <w:tmpl w:val="44D894CC"/>
    <w:lvl w:ilvl="0" w:tplc="0809000B">
      <w:start w:val="1"/>
      <w:numFmt w:val="bullet"/>
      <w:lvlText w:val=""/>
      <w:lvlJc w:val="left"/>
      <w:pPr>
        <w:tabs>
          <w:tab w:val="num" w:pos="2230"/>
        </w:tabs>
        <w:ind w:left="2230" w:hanging="360"/>
      </w:pPr>
      <w:rPr>
        <w:rFonts w:ascii="Wingdings" w:hAnsi="Wingdings" w:hint="default"/>
      </w:rPr>
    </w:lvl>
    <w:lvl w:ilvl="1" w:tplc="08090003" w:tentative="1">
      <w:start w:val="1"/>
      <w:numFmt w:val="bullet"/>
      <w:lvlText w:val="o"/>
      <w:lvlJc w:val="left"/>
      <w:pPr>
        <w:tabs>
          <w:tab w:val="num" w:pos="2950"/>
        </w:tabs>
        <w:ind w:left="2950" w:hanging="360"/>
      </w:pPr>
      <w:rPr>
        <w:rFonts w:ascii="Courier New" w:hAnsi="Courier New" w:cs="Courier New" w:hint="default"/>
      </w:rPr>
    </w:lvl>
    <w:lvl w:ilvl="2" w:tplc="08090005" w:tentative="1">
      <w:start w:val="1"/>
      <w:numFmt w:val="bullet"/>
      <w:lvlText w:val=""/>
      <w:lvlJc w:val="left"/>
      <w:pPr>
        <w:tabs>
          <w:tab w:val="num" w:pos="3670"/>
        </w:tabs>
        <w:ind w:left="3670" w:hanging="360"/>
      </w:pPr>
      <w:rPr>
        <w:rFonts w:ascii="Wingdings" w:hAnsi="Wingdings" w:hint="default"/>
      </w:rPr>
    </w:lvl>
    <w:lvl w:ilvl="3" w:tplc="08090001" w:tentative="1">
      <w:start w:val="1"/>
      <w:numFmt w:val="bullet"/>
      <w:lvlText w:val=""/>
      <w:lvlJc w:val="left"/>
      <w:pPr>
        <w:tabs>
          <w:tab w:val="num" w:pos="4390"/>
        </w:tabs>
        <w:ind w:left="4390" w:hanging="360"/>
      </w:pPr>
      <w:rPr>
        <w:rFonts w:ascii="Symbol" w:hAnsi="Symbol" w:hint="default"/>
      </w:rPr>
    </w:lvl>
    <w:lvl w:ilvl="4" w:tplc="08090003" w:tentative="1">
      <w:start w:val="1"/>
      <w:numFmt w:val="bullet"/>
      <w:lvlText w:val="o"/>
      <w:lvlJc w:val="left"/>
      <w:pPr>
        <w:tabs>
          <w:tab w:val="num" w:pos="5110"/>
        </w:tabs>
        <w:ind w:left="5110" w:hanging="360"/>
      </w:pPr>
      <w:rPr>
        <w:rFonts w:ascii="Courier New" w:hAnsi="Courier New" w:cs="Courier New" w:hint="default"/>
      </w:rPr>
    </w:lvl>
    <w:lvl w:ilvl="5" w:tplc="08090005" w:tentative="1">
      <w:start w:val="1"/>
      <w:numFmt w:val="bullet"/>
      <w:lvlText w:val=""/>
      <w:lvlJc w:val="left"/>
      <w:pPr>
        <w:tabs>
          <w:tab w:val="num" w:pos="5830"/>
        </w:tabs>
        <w:ind w:left="5830" w:hanging="360"/>
      </w:pPr>
      <w:rPr>
        <w:rFonts w:ascii="Wingdings" w:hAnsi="Wingdings" w:hint="default"/>
      </w:rPr>
    </w:lvl>
    <w:lvl w:ilvl="6" w:tplc="08090001" w:tentative="1">
      <w:start w:val="1"/>
      <w:numFmt w:val="bullet"/>
      <w:lvlText w:val=""/>
      <w:lvlJc w:val="left"/>
      <w:pPr>
        <w:tabs>
          <w:tab w:val="num" w:pos="6550"/>
        </w:tabs>
        <w:ind w:left="6550" w:hanging="360"/>
      </w:pPr>
      <w:rPr>
        <w:rFonts w:ascii="Symbol" w:hAnsi="Symbol" w:hint="default"/>
      </w:rPr>
    </w:lvl>
    <w:lvl w:ilvl="7" w:tplc="08090003" w:tentative="1">
      <w:start w:val="1"/>
      <w:numFmt w:val="bullet"/>
      <w:lvlText w:val="o"/>
      <w:lvlJc w:val="left"/>
      <w:pPr>
        <w:tabs>
          <w:tab w:val="num" w:pos="7270"/>
        </w:tabs>
        <w:ind w:left="7270" w:hanging="360"/>
      </w:pPr>
      <w:rPr>
        <w:rFonts w:ascii="Courier New" w:hAnsi="Courier New" w:cs="Courier New" w:hint="default"/>
      </w:rPr>
    </w:lvl>
    <w:lvl w:ilvl="8" w:tplc="08090005" w:tentative="1">
      <w:start w:val="1"/>
      <w:numFmt w:val="bullet"/>
      <w:lvlText w:val=""/>
      <w:lvlJc w:val="left"/>
      <w:pPr>
        <w:tabs>
          <w:tab w:val="num" w:pos="7990"/>
        </w:tabs>
        <w:ind w:left="7990" w:hanging="360"/>
      </w:pPr>
      <w:rPr>
        <w:rFonts w:ascii="Wingdings" w:hAnsi="Wingdings" w:hint="default"/>
      </w:rPr>
    </w:lvl>
  </w:abstractNum>
  <w:abstractNum w:abstractNumId="13" w15:restartNumberingAfterBreak="0">
    <w:nsid w:val="52A60093"/>
    <w:multiLevelType w:val="hybridMultilevel"/>
    <w:tmpl w:val="6DB66A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F158CE"/>
    <w:multiLevelType w:val="hybridMultilevel"/>
    <w:tmpl w:val="3C620C7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5816019F"/>
    <w:multiLevelType w:val="hybridMultilevel"/>
    <w:tmpl w:val="BAA27D66"/>
    <w:lvl w:ilvl="0" w:tplc="0809000B">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D9A18FB"/>
    <w:multiLevelType w:val="hybridMultilevel"/>
    <w:tmpl w:val="21AADA40"/>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61AF309B"/>
    <w:multiLevelType w:val="hybridMultilevel"/>
    <w:tmpl w:val="DCE27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802E68"/>
    <w:multiLevelType w:val="hybridMultilevel"/>
    <w:tmpl w:val="2D2E88A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7F6FA5"/>
    <w:multiLevelType w:val="hybridMultilevel"/>
    <w:tmpl w:val="BEC8742E"/>
    <w:lvl w:ilvl="0" w:tplc="0809000F">
      <w:start w:val="1"/>
      <w:numFmt w:val="decimal"/>
      <w:lvlText w:val="%1."/>
      <w:lvlJc w:val="left"/>
      <w:pPr>
        <w:tabs>
          <w:tab w:val="num" w:pos="1360"/>
        </w:tabs>
        <w:ind w:left="1360" w:hanging="360"/>
      </w:pPr>
    </w:lvl>
    <w:lvl w:ilvl="1" w:tplc="08090019" w:tentative="1">
      <w:start w:val="1"/>
      <w:numFmt w:val="lowerLetter"/>
      <w:lvlText w:val="%2."/>
      <w:lvlJc w:val="left"/>
      <w:pPr>
        <w:tabs>
          <w:tab w:val="num" w:pos="2080"/>
        </w:tabs>
        <w:ind w:left="2080" w:hanging="360"/>
      </w:pPr>
    </w:lvl>
    <w:lvl w:ilvl="2" w:tplc="0809001B" w:tentative="1">
      <w:start w:val="1"/>
      <w:numFmt w:val="lowerRoman"/>
      <w:lvlText w:val="%3."/>
      <w:lvlJc w:val="right"/>
      <w:pPr>
        <w:tabs>
          <w:tab w:val="num" w:pos="2800"/>
        </w:tabs>
        <w:ind w:left="2800" w:hanging="180"/>
      </w:pPr>
    </w:lvl>
    <w:lvl w:ilvl="3" w:tplc="0809000F" w:tentative="1">
      <w:start w:val="1"/>
      <w:numFmt w:val="decimal"/>
      <w:lvlText w:val="%4."/>
      <w:lvlJc w:val="left"/>
      <w:pPr>
        <w:tabs>
          <w:tab w:val="num" w:pos="3520"/>
        </w:tabs>
        <w:ind w:left="3520" w:hanging="360"/>
      </w:pPr>
    </w:lvl>
    <w:lvl w:ilvl="4" w:tplc="08090019" w:tentative="1">
      <w:start w:val="1"/>
      <w:numFmt w:val="lowerLetter"/>
      <w:lvlText w:val="%5."/>
      <w:lvlJc w:val="left"/>
      <w:pPr>
        <w:tabs>
          <w:tab w:val="num" w:pos="4240"/>
        </w:tabs>
        <w:ind w:left="4240" w:hanging="360"/>
      </w:pPr>
    </w:lvl>
    <w:lvl w:ilvl="5" w:tplc="0809001B" w:tentative="1">
      <w:start w:val="1"/>
      <w:numFmt w:val="lowerRoman"/>
      <w:lvlText w:val="%6."/>
      <w:lvlJc w:val="right"/>
      <w:pPr>
        <w:tabs>
          <w:tab w:val="num" w:pos="4960"/>
        </w:tabs>
        <w:ind w:left="4960" w:hanging="180"/>
      </w:pPr>
    </w:lvl>
    <w:lvl w:ilvl="6" w:tplc="0809000F" w:tentative="1">
      <w:start w:val="1"/>
      <w:numFmt w:val="decimal"/>
      <w:lvlText w:val="%7."/>
      <w:lvlJc w:val="left"/>
      <w:pPr>
        <w:tabs>
          <w:tab w:val="num" w:pos="5680"/>
        </w:tabs>
        <w:ind w:left="5680" w:hanging="360"/>
      </w:pPr>
    </w:lvl>
    <w:lvl w:ilvl="7" w:tplc="08090019" w:tentative="1">
      <w:start w:val="1"/>
      <w:numFmt w:val="lowerLetter"/>
      <w:lvlText w:val="%8."/>
      <w:lvlJc w:val="left"/>
      <w:pPr>
        <w:tabs>
          <w:tab w:val="num" w:pos="6400"/>
        </w:tabs>
        <w:ind w:left="6400" w:hanging="360"/>
      </w:pPr>
    </w:lvl>
    <w:lvl w:ilvl="8" w:tplc="0809001B" w:tentative="1">
      <w:start w:val="1"/>
      <w:numFmt w:val="lowerRoman"/>
      <w:lvlText w:val="%9."/>
      <w:lvlJc w:val="right"/>
      <w:pPr>
        <w:tabs>
          <w:tab w:val="num" w:pos="7120"/>
        </w:tabs>
        <w:ind w:left="7120" w:hanging="180"/>
      </w:pPr>
    </w:lvl>
  </w:abstractNum>
  <w:abstractNum w:abstractNumId="21" w15:restartNumberingAfterBreak="0">
    <w:nsid w:val="75911B80"/>
    <w:multiLevelType w:val="hybridMultilevel"/>
    <w:tmpl w:val="D16A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17B0C"/>
    <w:multiLevelType w:val="hybridMultilevel"/>
    <w:tmpl w:val="A2E2600E"/>
    <w:lvl w:ilvl="0" w:tplc="08090001">
      <w:start w:val="1"/>
      <w:numFmt w:val="bullet"/>
      <w:lvlText w:val=""/>
      <w:lvlJc w:val="left"/>
      <w:pPr>
        <w:tabs>
          <w:tab w:val="num" w:pos="1640"/>
        </w:tabs>
        <w:ind w:left="1640" w:hanging="360"/>
      </w:pPr>
      <w:rPr>
        <w:rFonts w:ascii="Symbol" w:hAnsi="Symbol" w:hint="default"/>
      </w:rPr>
    </w:lvl>
    <w:lvl w:ilvl="1" w:tplc="08090003" w:tentative="1">
      <w:start w:val="1"/>
      <w:numFmt w:val="bullet"/>
      <w:lvlText w:val="o"/>
      <w:lvlJc w:val="left"/>
      <w:pPr>
        <w:tabs>
          <w:tab w:val="num" w:pos="2360"/>
        </w:tabs>
        <w:ind w:left="2360" w:hanging="360"/>
      </w:pPr>
      <w:rPr>
        <w:rFonts w:ascii="Courier New" w:hAnsi="Courier New" w:cs="Courier New" w:hint="default"/>
      </w:rPr>
    </w:lvl>
    <w:lvl w:ilvl="2" w:tplc="08090005" w:tentative="1">
      <w:start w:val="1"/>
      <w:numFmt w:val="bullet"/>
      <w:lvlText w:val=""/>
      <w:lvlJc w:val="left"/>
      <w:pPr>
        <w:tabs>
          <w:tab w:val="num" w:pos="3080"/>
        </w:tabs>
        <w:ind w:left="3080" w:hanging="360"/>
      </w:pPr>
      <w:rPr>
        <w:rFonts w:ascii="Wingdings" w:hAnsi="Wingdings" w:hint="default"/>
      </w:rPr>
    </w:lvl>
    <w:lvl w:ilvl="3" w:tplc="08090001" w:tentative="1">
      <w:start w:val="1"/>
      <w:numFmt w:val="bullet"/>
      <w:lvlText w:val=""/>
      <w:lvlJc w:val="left"/>
      <w:pPr>
        <w:tabs>
          <w:tab w:val="num" w:pos="3800"/>
        </w:tabs>
        <w:ind w:left="3800" w:hanging="360"/>
      </w:pPr>
      <w:rPr>
        <w:rFonts w:ascii="Symbol" w:hAnsi="Symbol" w:hint="default"/>
      </w:rPr>
    </w:lvl>
    <w:lvl w:ilvl="4" w:tplc="08090003" w:tentative="1">
      <w:start w:val="1"/>
      <w:numFmt w:val="bullet"/>
      <w:lvlText w:val="o"/>
      <w:lvlJc w:val="left"/>
      <w:pPr>
        <w:tabs>
          <w:tab w:val="num" w:pos="4520"/>
        </w:tabs>
        <w:ind w:left="4520" w:hanging="360"/>
      </w:pPr>
      <w:rPr>
        <w:rFonts w:ascii="Courier New" w:hAnsi="Courier New" w:cs="Courier New" w:hint="default"/>
      </w:rPr>
    </w:lvl>
    <w:lvl w:ilvl="5" w:tplc="08090005" w:tentative="1">
      <w:start w:val="1"/>
      <w:numFmt w:val="bullet"/>
      <w:lvlText w:val=""/>
      <w:lvlJc w:val="left"/>
      <w:pPr>
        <w:tabs>
          <w:tab w:val="num" w:pos="5240"/>
        </w:tabs>
        <w:ind w:left="5240" w:hanging="360"/>
      </w:pPr>
      <w:rPr>
        <w:rFonts w:ascii="Wingdings" w:hAnsi="Wingdings" w:hint="default"/>
      </w:rPr>
    </w:lvl>
    <w:lvl w:ilvl="6" w:tplc="08090001" w:tentative="1">
      <w:start w:val="1"/>
      <w:numFmt w:val="bullet"/>
      <w:lvlText w:val=""/>
      <w:lvlJc w:val="left"/>
      <w:pPr>
        <w:tabs>
          <w:tab w:val="num" w:pos="5960"/>
        </w:tabs>
        <w:ind w:left="5960" w:hanging="360"/>
      </w:pPr>
      <w:rPr>
        <w:rFonts w:ascii="Symbol" w:hAnsi="Symbol" w:hint="default"/>
      </w:rPr>
    </w:lvl>
    <w:lvl w:ilvl="7" w:tplc="08090003" w:tentative="1">
      <w:start w:val="1"/>
      <w:numFmt w:val="bullet"/>
      <w:lvlText w:val="o"/>
      <w:lvlJc w:val="left"/>
      <w:pPr>
        <w:tabs>
          <w:tab w:val="num" w:pos="6680"/>
        </w:tabs>
        <w:ind w:left="6680" w:hanging="360"/>
      </w:pPr>
      <w:rPr>
        <w:rFonts w:ascii="Courier New" w:hAnsi="Courier New" w:cs="Courier New" w:hint="default"/>
      </w:rPr>
    </w:lvl>
    <w:lvl w:ilvl="8" w:tplc="08090005" w:tentative="1">
      <w:start w:val="1"/>
      <w:numFmt w:val="bullet"/>
      <w:lvlText w:val=""/>
      <w:lvlJc w:val="left"/>
      <w:pPr>
        <w:tabs>
          <w:tab w:val="num" w:pos="7400"/>
        </w:tabs>
        <w:ind w:left="7400" w:hanging="360"/>
      </w:pPr>
      <w:rPr>
        <w:rFonts w:ascii="Wingdings" w:hAnsi="Wingdings" w:hint="default"/>
      </w:rPr>
    </w:lvl>
  </w:abstractNum>
  <w:num w:numId="1">
    <w:abstractNumId w:val="1"/>
  </w:num>
  <w:num w:numId="2">
    <w:abstractNumId w:val="18"/>
  </w:num>
  <w:num w:numId="3">
    <w:abstractNumId w:val="3"/>
  </w:num>
  <w:num w:numId="4">
    <w:abstractNumId w:val="20"/>
  </w:num>
  <w:num w:numId="5">
    <w:abstractNumId w:val="14"/>
  </w:num>
  <w:num w:numId="6">
    <w:abstractNumId w:val="4"/>
  </w:num>
  <w:num w:numId="7">
    <w:abstractNumId w:val="22"/>
  </w:num>
  <w:num w:numId="8">
    <w:abstractNumId w:val="10"/>
  </w:num>
  <w:num w:numId="9">
    <w:abstractNumId w:val="12"/>
  </w:num>
  <w:num w:numId="10">
    <w:abstractNumId w:val="5"/>
  </w:num>
  <w:num w:numId="11">
    <w:abstractNumId w:val="11"/>
  </w:num>
  <w:num w:numId="12">
    <w:abstractNumId w:val="16"/>
  </w:num>
  <w:num w:numId="13">
    <w:abstractNumId w:val="8"/>
  </w:num>
  <w:num w:numId="14">
    <w:abstractNumId w:val="19"/>
  </w:num>
  <w:num w:numId="15">
    <w:abstractNumId w:val="6"/>
  </w:num>
  <w:num w:numId="16">
    <w:abstractNumId w:val="0"/>
  </w:num>
  <w:num w:numId="17">
    <w:abstractNumId w:val="15"/>
  </w:num>
  <w:num w:numId="18">
    <w:abstractNumId w:val="8"/>
  </w:num>
  <w:num w:numId="19">
    <w:abstractNumId w:val="7"/>
  </w:num>
  <w:num w:numId="20">
    <w:abstractNumId w:val="17"/>
  </w:num>
  <w:num w:numId="21">
    <w:abstractNumId w:val="9"/>
  </w:num>
  <w:num w:numId="22">
    <w:abstractNumId w:val="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295"/>
    <w:rsid w:val="00003384"/>
    <w:rsid w:val="00007296"/>
    <w:rsid w:val="0001487F"/>
    <w:rsid w:val="0001577C"/>
    <w:rsid w:val="00015B00"/>
    <w:rsid w:val="00015B69"/>
    <w:rsid w:val="00027616"/>
    <w:rsid w:val="00030EAA"/>
    <w:rsid w:val="00031D45"/>
    <w:rsid w:val="00035950"/>
    <w:rsid w:val="00035ED7"/>
    <w:rsid w:val="0003654B"/>
    <w:rsid w:val="00044B11"/>
    <w:rsid w:val="000507CA"/>
    <w:rsid w:val="00053017"/>
    <w:rsid w:val="0006095F"/>
    <w:rsid w:val="0006200D"/>
    <w:rsid w:val="00063E5C"/>
    <w:rsid w:val="000673AA"/>
    <w:rsid w:val="00074383"/>
    <w:rsid w:val="0007659F"/>
    <w:rsid w:val="0008137E"/>
    <w:rsid w:val="00082422"/>
    <w:rsid w:val="0008282D"/>
    <w:rsid w:val="00082DEF"/>
    <w:rsid w:val="0008526E"/>
    <w:rsid w:val="000877B8"/>
    <w:rsid w:val="0009048C"/>
    <w:rsid w:val="00090FE5"/>
    <w:rsid w:val="00091184"/>
    <w:rsid w:val="000929A5"/>
    <w:rsid w:val="00095E7B"/>
    <w:rsid w:val="00097A2D"/>
    <w:rsid w:val="000A1D5E"/>
    <w:rsid w:val="000A3B3D"/>
    <w:rsid w:val="000A4ACF"/>
    <w:rsid w:val="000A7FC3"/>
    <w:rsid w:val="000B05E1"/>
    <w:rsid w:val="000B4A35"/>
    <w:rsid w:val="000B5582"/>
    <w:rsid w:val="000B7133"/>
    <w:rsid w:val="000C3AA5"/>
    <w:rsid w:val="000C58A0"/>
    <w:rsid w:val="000C6476"/>
    <w:rsid w:val="000C6B60"/>
    <w:rsid w:val="000C7119"/>
    <w:rsid w:val="000C7B88"/>
    <w:rsid w:val="000D08E2"/>
    <w:rsid w:val="000D3686"/>
    <w:rsid w:val="000D6114"/>
    <w:rsid w:val="000E72F6"/>
    <w:rsid w:val="000F4BD7"/>
    <w:rsid w:val="000F7248"/>
    <w:rsid w:val="00103389"/>
    <w:rsid w:val="00103D9B"/>
    <w:rsid w:val="00104551"/>
    <w:rsid w:val="00104B6A"/>
    <w:rsid w:val="00104BFB"/>
    <w:rsid w:val="001118AC"/>
    <w:rsid w:val="001132C8"/>
    <w:rsid w:val="001135CF"/>
    <w:rsid w:val="00113DFB"/>
    <w:rsid w:val="0011502A"/>
    <w:rsid w:val="00121A99"/>
    <w:rsid w:val="001250F1"/>
    <w:rsid w:val="00126EB9"/>
    <w:rsid w:val="001274CE"/>
    <w:rsid w:val="00131927"/>
    <w:rsid w:val="00132C05"/>
    <w:rsid w:val="001334EB"/>
    <w:rsid w:val="00137D93"/>
    <w:rsid w:val="001436A5"/>
    <w:rsid w:val="00146484"/>
    <w:rsid w:val="001500CB"/>
    <w:rsid w:val="00151F29"/>
    <w:rsid w:val="00154644"/>
    <w:rsid w:val="00156C04"/>
    <w:rsid w:val="00164033"/>
    <w:rsid w:val="00165C36"/>
    <w:rsid w:val="001724AF"/>
    <w:rsid w:val="00176892"/>
    <w:rsid w:val="0018090D"/>
    <w:rsid w:val="00181A77"/>
    <w:rsid w:val="00181C2F"/>
    <w:rsid w:val="00182B84"/>
    <w:rsid w:val="00182CE0"/>
    <w:rsid w:val="00183A8B"/>
    <w:rsid w:val="00185E42"/>
    <w:rsid w:val="0019059C"/>
    <w:rsid w:val="001907F5"/>
    <w:rsid w:val="00190A5D"/>
    <w:rsid w:val="001951E6"/>
    <w:rsid w:val="001A1915"/>
    <w:rsid w:val="001A399A"/>
    <w:rsid w:val="001A3EE3"/>
    <w:rsid w:val="001A4019"/>
    <w:rsid w:val="001A4B53"/>
    <w:rsid w:val="001A5CD9"/>
    <w:rsid w:val="001B0F93"/>
    <w:rsid w:val="001B1117"/>
    <w:rsid w:val="001B3C40"/>
    <w:rsid w:val="001B55A5"/>
    <w:rsid w:val="001C47B0"/>
    <w:rsid w:val="001C58F1"/>
    <w:rsid w:val="001C7299"/>
    <w:rsid w:val="001C7FCD"/>
    <w:rsid w:val="001D23E8"/>
    <w:rsid w:val="001D27C4"/>
    <w:rsid w:val="001D569F"/>
    <w:rsid w:val="001E1977"/>
    <w:rsid w:val="001E3162"/>
    <w:rsid w:val="001E3B80"/>
    <w:rsid w:val="001E585B"/>
    <w:rsid w:val="001E5A94"/>
    <w:rsid w:val="001E5DD6"/>
    <w:rsid w:val="001F35BB"/>
    <w:rsid w:val="001F456A"/>
    <w:rsid w:val="001F7826"/>
    <w:rsid w:val="0020003B"/>
    <w:rsid w:val="0020572C"/>
    <w:rsid w:val="00205ACD"/>
    <w:rsid w:val="00210C51"/>
    <w:rsid w:val="00211B60"/>
    <w:rsid w:val="00217C90"/>
    <w:rsid w:val="00221572"/>
    <w:rsid w:val="00223F02"/>
    <w:rsid w:val="00225B13"/>
    <w:rsid w:val="00225C42"/>
    <w:rsid w:val="00225CFA"/>
    <w:rsid w:val="00241CE5"/>
    <w:rsid w:val="00246900"/>
    <w:rsid w:val="00251478"/>
    <w:rsid w:val="00252ECB"/>
    <w:rsid w:val="0025393F"/>
    <w:rsid w:val="002574EE"/>
    <w:rsid w:val="00261245"/>
    <w:rsid w:val="00262A3F"/>
    <w:rsid w:val="00263C57"/>
    <w:rsid w:val="002664AD"/>
    <w:rsid w:val="00266F7A"/>
    <w:rsid w:val="002674F5"/>
    <w:rsid w:val="002719B1"/>
    <w:rsid w:val="00272186"/>
    <w:rsid w:val="00272855"/>
    <w:rsid w:val="00275239"/>
    <w:rsid w:val="002770BA"/>
    <w:rsid w:val="00277717"/>
    <w:rsid w:val="00280470"/>
    <w:rsid w:val="00282477"/>
    <w:rsid w:val="00283A4B"/>
    <w:rsid w:val="002902C2"/>
    <w:rsid w:val="00296FD4"/>
    <w:rsid w:val="002A0665"/>
    <w:rsid w:val="002A3C17"/>
    <w:rsid w:val="002A7B77"/>
    <w:rsid w:val="002B0746"/>
    <w:rsid w:val="002B0FCE"/>
    <w:rsid w:val="002B5CB2"/>
    <w:rsid w:val="002B66C2"/>
    <w:rsid w:val="002B6B8C"/>
    <w:rsid w:val="002C094E"/>
    <w:rsid w:val="002C0B2D"/>
    <w:rsid w:val="002C3F85"/>
    <w:rsid w:val="002C60C4"/>
    <w:rsid w:val="002D013C"/>
    <w:rsid w:val="002D0B92"/>
    <w:rsid w:val="002D1B1F"/>
    <w:rsid w:val="002D2AD0"/>
    <w:rsid w:val="002D3444"/>
    <w:rsid w:val="002D62F9"/>
    <w:rsid w:val="002D717F"/>
    <w:rsid w:val="002E174C"/>
    <w:rsid w:val="002E1DDC"/>
    <w:rsid w:val="002E4249"/>
    <w:rsid w:val="002E6B87"/>
    <w:rsid w:val="002F137A"/>
    <w:rsid w:val="002F242B"/>
    <w:rsid w:val="002F2443"/>
    <w:rsid w:val="002F3708"/>
    <w:rsid w:val="002F54AD"/>
    <w:rsid w:val="002F65BD"/>
    <w:rsid w:val="002F6DC8"/>
    <w:rsid w:val="00300E33"/>
    <w:rsid w:val="003025C5"/>
    <w:rsid w:val="003032BA"/>
    <w:rsid w:val="00304BD4"/>
    <w:rsid w:val="00307A7E"/>
    <w:rsid w:val="0031097E"/>
    <w:rsid w:val="003111EA"/>
    <w:rsid w:val="00312E37"/>
    <w:rsid w:val="00315C37"/>
    <w:rsid w:val="00321459"/>
    <w:rsid w:val="0032340F"/>
    <w:rsid w:val="0032698D"/>
    <w:rsid w:val="00332CC4"/>
    <w:rsid w:val="00334F59"/>
    <w:rsid w:val="00335EB8"/>
    <w:rsid w:val="00336A12"/>
    <w:rsid w:val="00341CF9"/>
    <w:rsid w:val="00342434"/>
    <w:rsid w:val="00345744"/>
    <w:rsid w:val="0034697E"/>
    <w:rsid w:val="00346ED4"/>
    <w:rsid w:val="0035114D"/>
    <w:rsid w:val="00353710"/>
    <w:rsid w:val="00354870"/>
    <w:rsid w:val="003558E6"/>
    <w:rsid w:val="003569FE"/>
    <w:rsid w:val="00360EA3"/>
    <w:rsid w:val="00361DAE"/>
    <w:rsid w:val="00362B3A"/>
    <w:rsid w:val="00363662"/>
    <w:rsid w:val="0036475D"/>
    <w:rsid w:val="00366471"/>
    <w:rsid w:val="00366786"/>
    <w:rsid w:val="00367B11"/>
    <w:rsid w:val="00374F36"/>
    <w:rsid w:val="00381768"/>
    <w:rsid w:val="00384908"/>
    <w:rsid w:val="0039128F"/>
    <w:rsid w:val="00391445"/>
    <w:rsid w:val="00392857"/>
    <w:rsid w:val="003940DE"/>
    <w:rsid w:val="0039504C"/>
    <w:rsid w:val="00395BE1"/>
    <w:rsid w:val="0039677F"/>
    <w:rsid w:val="00396FDB"/>
    <w:rsid w:val="003A1465"/>
    <w:rsid w:val="003A6D0C"/>
    <w:rsid w:val="003B0CAC"/>
    <w:rsid w:val="003C28D2"/>
    <w:rsid w:val="003C47D7"/>
    <w:rsid w:val="003D5C67"/>
    <w:rsid w:val="003D75BA"/>
    <w:rsid w:val="003E4DE9"/>
    <w:rsid w:val="003F0E38"/>
    <w:rsid w:val="003F12E6"/>
    <w:rsid w:val="003F5DBA"/>
    <w:rsid w:val="004002B2"/>
    <w:rsid w:val="0040354B"/>
    <w:rsid w:val="004036C6"/>
    <w:rsid w:val="00414FE8"/>
    <w:rsid w:val="00423102"/>
    <w:rsid w:val="004251EA"/>
    <w:rsid w:val="004266C0"/>
    <w:rsid w:val="0043381F"/>
    <w:rsid w:val="0043472C"/>
    <w:rsid w:val="00434BCF"/>
    <w:rsid w:val="004417A5"/>
    <w:rsid w:val="0044216C"/>
    <w:rsid w:val="004426E0"/>
    <w:rsid w:val="00443587"/>
    <w:rsid w:val="00443E58"/>
    <w:rsid w:val="004443B4"/>
    <w:rsid w:val="00454C3D"/>
    <w:rsid w:val="0046254F"/>
    <w:rsid w:val="0046268A"/>
    <w:rsid w:val="004643B8"/>
    <w:rsid w:val="00464E5E"/>
    <w:rsid w:val="00466B8D"/>
    <w:rsid w:val="00471083"/>
    <w:rsid w:val="00474400"/>
    <w:rsid w:val="00474B39"/>
    <w:rsid w:val="00476221"/>
    <w:rsid w:val="00476534"/>
    <w:rsid w:val="00483AEA"/>
    <w:rsid w:val="00483D99"/>
    <w:rsid w:val="00486B00"/>
    <w:rsid w:val="00494E60"/>
    <w:rsid w:val="004A2E37"/>
    <w:rsid w:val="004A2EE1"/>
    <w:rsid w:val="004A464D"/>
    <w:rsid w:val="004A4F7E"/>
    <w:rsid w:val="004A7488"/>
    <w:rsid w:val="004B17B6"/>
    <w:rsid w:val="004B1BF9"/>
    <w:rsid w:val="004B23AB"/>
    <w:rsid w:val="004B6FE8"/>
    <w:rsid w:val="004B7B24"/>
    <w:rsid w:val="004B7D2F"/>
    <w:rsid w:val="004C0DD9"/>
    <w:rsid w:val="004C0E96"/>
    <w:rsid w:val="004C0FB6"/>
    <w:rsid w:val="004C46D2"/>
    <w:rsid w:val="004C5E5D"/>
    <w:rsid w:val="004C7628"/>
    <w:rsid w:val="004C7A25"/>
    <w:rsid w:val="004C7C5F"/>
    <w:rsid w:val="004C7F9A"/>
    <w:rsid w:val="004C7FEA"/>
    <w:rsid w:val="004D1085"/>
    <w:rsid w:val="004D30B2"/>
    <w:rsid w:val="004D4974"/>
    <w:rsid w:val="004D56E3"/>
    <w:rsid w:val="004D6308"/>
    <w:rsid w:val="004E4F06"/>
    <w:rsid w:val="004E6EBD"/>
    <w:rsid w:val="004F4F04"/>
    <w:rsid w:val="004F63E9"/>
    <w:rsid w:val="005070FA"/>
    <w:rsid w:val="005077C8"/>
    <w:rsid w:val="00507F6B"/>
    <w:rsid w:val="005132B3"/>
    <w:rsid w:val="00514390"/>
    <w:rsid w:val="00514CE4"/>
    <w:rsid w:val="005235C9"/>
    <w:rsid w:val="00524AD7"/>
    <w:rsid w:val="00525E8D"/>
    <w:rsid w:val="00530A8E"/>
    <w:rsid w:val="0053142C"/>
    <w:rsid w:val="00540588"/>
    <w:rsid w:val="00540EE3"/>
    <w:rsid w:val="005449A3"/>
    <w:rsid w:val="005464B8"/>
    <w:rsid w:val="005557BD"/>
    <w:rsid w:val="00561DC6"/>
    <w:rsid w:val="00574334"/>
    <w:rsid w:val="005769B8"/>
    <w:rsid w:val="0057782A"/>
    <w:rsid w:val="00580070"/>
    <w:rsid w:val="00580A1F"/>
    <w:rsid w:val="005823C7"/>
    <w:rsid w:val="00582E9E"/>
    <w:rsid w:val="00584B7A"/>
    <w:rsid w:val="005856E9"/>
    <w:rsid w:val="00587287"/>
    <w:rsid w:val="00590FCD"/>
    <w:rsid w:val="005917AD"/>
    <w:rsid w:val="005974EE"/>
    <w:rsid w:val="005A4708"/>
    <w:rsid w:val="005A66ED"/>
    <w:rsid w:val="005A6EE4"/>
    <w:rsid w:val="005B029F"/>
    <w:rsid w:val="005B3E97"/>
    <w:rsid w:val="005B69CD"/>
    <w:rsid w:val="005D5221"/>
    <w:rsid w:val="005D6796"/>
    <w:rsid w:val="005E1648"/>
    <w:rsid w:val="005E1E13"/>
    <w:rsid w:val="005E2C11"/>
    <w:rsid w:val="005E75D9"/>
    <w:rsid w:val="005F3D2B"/>
    <w:rsid w:val="005F4E78"/>
    <w:rsid w:val="005F5164"/>
    <w:rsid w:val="005F5473"/>
    <w:rsid w:val="005F7505"/>
    <w:rsid w:val="00602077"/>
    <w:rsid w:val="00604C5E"/>
    <w:rsid w:val="00606355"/>
    <w:rsid w:val="00607C69"/>
    <w:rsid w:val="0061493F"/>
    <w:rsid w:val="006152BA"/>
    <w:rsid w:val="00616B20"/>
    <w:rsid w:val="00617D5D"/>
    <w:rsid w:val="006305A2"/>
    <w:rsid w:val="00631663"/>
    <w:rsid w:val="006322EB"/>
    <w:rsid w:val="00632ED0"/>
    <w:rsid w:val="00637BBB"/>
    <w:rsid w:val="0064199D"/>
    <w:rsid w:val="00641A4C"/>
    <w:rsid w:val="00645D93"/>
    <w:rsid w:val="00654842"/>
    <w:rsid w:val="00655B25"/>
    <w:rsid w:val="00656E3F"/>
    <w:rsid w:val="006607AE"/>
    <w:rsid w:val="0066098C"/>
    <w:rsid w:val="0066448C"/>
    <w:rsid w:val="00664F41"/>
    <w:rsid w:val="00667205"/>
    <w:rsid w:val="0067356F"/>
    <w:rsid w:val="006735AD"/>
    <w:rsid w:val="00675D82"/>
    <w:rsid w:val="006767E8"/>
    <w:rsid w:val="00676D9B"/>
    <w:rsid w:val="0068069D"/>
    <w:rsid w:val="0068223C"/>
    <w:rsid w:val="0068310B"/>
    <w:rsid w:val="00683A6B"/>
    <w:rsid w:val="00686411"/>
    <w:rsid w:val="00692075"/>
    <w:rsid w:val="006A2167"/>
    <w:rsid w:val="006A2D8A"/>
    <w:rsid w:val="006A2EF8"/>
    <w:rsid w:val="006A439C"/>
    <w:rsid w:val="006A671E"/>
    <w:rsid w:val="006B46DA"/>
    <w:rsid w:val="006B51D0"/>
    <w:rsid w:val="006B6A16"/>
    <w:rsid w:val="006C2206"/>
    <w:rsid w:val="006C4905"/>
    <w:rsid w:val="006C5DC2"/>
    <w:rsid w:val="006D0187"/>
    <w:rsid w:val="006D0712"/>
    <w:rsid w:val="006D28F5"/>
    <w:rsid w:val="006D307C"/>
    <w:rsid w:val="006D3997"/>
    <w:rsid w:val="006E37A8"/>
    <w:rsid w:val="006E3EA5"/>
    <w:rsid w:val="006E5050"/>
    <w:rsid w:val="006E7BF2"/>
    <w:rsid w:val="006F03A8"/>
    <w:rsid w:val="006F095C"/>
    <w:rsid w:val="006F0C70"/>
    <w:rsid w:val="006F3794"/>
    <w:rsid w:val="006F4E22"/>
    <w:rsid w:val="006F506C"/>
    <w:rsid w:val="006F65A1"/>
    <w:rsid w:val="006F7363"/>
    <w:rsid w:val="0070060B"/>
    <w:rsid w:val="00702EAB"/>
    <w:rsid w:val="00705A91"/>
    <w:rsid w:val="00705CF0"/>
    <w:rsid w:val="0071200E"/>
    <w:rsid w:val="007151B4"/>
    <w:rsid w:val="00715C1F"/>
    <w:rsid w:val="007200D5"/>
    <w:rsid w:val="00724A13"/>
    <w:rsid w:val="007251B8"/>
    <w:rsid w:val="0072521E"/>
    <w:rsid w:val="007255FC"/>
    <w:rsid w:val="00726E8F"/>
    <w:rsid w:val="0072740A"/>
    <w:rsid w:val="00727667"/>
    <w:rsid w:val="007409A6"/>
    <w:rsid w:val="0074231A"/>
    <w:rsid w:val="00742D92"/>
    <w:rsid w:val="007442D9"/>
    <w:rsid w:val="007444F3"/>
    <w:rsid w:val="00745D45"/>
    <w:rsid w:val="00746173"/>
    <w:rsid w:val="00747195"/>
    <w:rsid w:val="0075200D"/>
    <w:rsid w:val="00753FBF"/>
    <w:rsid w:val="00756303"/>
    <w:rsid w:val="00756475"/>
    <w:rsid w:val="00760459"/>
    <w:rsid w:val="007606B1"/>
    <w:rsid w:val="00762311"/>
    <w:rsid w:val="00762617"/>
    <w:rsid w:val="00762DE0"/>
    <w:rsid w:val="007640E3"/>
    <w:rsid w:val="007653F2"/>
    <w:rsid w:val="00767FCA"/>
    <w:rsid w:val="00773307"/>
    <w:rsid w:val="00773A4F"/>
    <w:rsid w:val="007745AA"/>
    <w:rsid w:val="00777A95"/>
    <w:rsid w:val="00777C91"/>
    <w:rsid w:val="00780429"/>
    <w:rsid w:val="007819D6"/>
    <w:rsid w:val="00784BC0"/>
    <w:rsid w:val="00787CC4"/>
    <w:rsid w:val="00790435"/>
    <w:rsid w:val="00790D8E"/>
    <w:rsid w:val="00790E83"/>
    <w:rsid w:val="00791268"/>
    <w:rsid w:val="007927AE"/>
    <w:rsid w:val="007A02A6"/>
    <w:rsid w:val="007A16BA"/>
    <w:rsid w:val="007A5D9B"/>
    <w:rsid w:val="007A729C"/>
    <w:rsid w:val="007A7322"/>
    <w:rsid w:val="007A7AA8"/>
    <w:rsid w:val="007B099A"/>
    <w:rsid w:val="007B6895"/>
    <w:rsid w:val="007C05E2"/>
    <w:rsid w:val="007C0A62"/>
    <w:rsid w:val="007C10A6"/>
    <w:rsid w:val="007C4172"/>
    <w:rsid w:val="007C44E0"/>
    <w:rsid w:val="007C51E3"/>
    <w:rsid w:val="007C7969"/>
    <w:rsid w:val="007D19A2"/>
    <w:rsid w:val="007D34F0"/>
    <w:rsid w:val="007D69AD"/>
    <w:rsid w:val="007D76B8"/>
    <w:rsid w:val="007E0E29"/>
    <w:rsid w:val="007E41E8"/>
    <w:rsid w:val="007E5720"/>
    <w:rsid w:val="007E6F62"/>
    <w:rsid w:val="007F2D91"/>
    <w:rsid w:val="007F630F"/>
    <w:rsid w:val="00802422"/>
    <w:rsid w:val="00803B06"/>
    <w:rsid w:val="008123FD"/>
    <w:rsid w:val="00812A76"/>
    <w:rsid w:val="00813E09"/>
    <w:rsid w:val="00814F3E"/>
    <w:rsid w:val="00816A1D"/>
    <w:rsid w:val="00816C93"/>
    <w:rsid w:val="00822186"/>
    <w:rsid w:val="008268AF"/>
    <w:rsid w:val="0082747D"/>
    <w:rsid w:val="008438B4"/>
    <w:rsid w:val="00845D0F"/>
    <w:rsid w:val="00846259"/>
    <w:rsid w:val="00847F25"/>
    <w:rsid w:val="00851D2E"/>
    <w:rsid w:val="00852909"/>
    <w:rsid w:val="0086012D"/>
    <w:rsid w:val="008630A0"/>
    <w:rsid w:val="00866387"/>
    <w:rsid w:val="008715A1"/>
    <w:rsid w:val="00873BAD"/>
    <w:rsid w:val="0087611D"/>
    <w:rsid w:val="00876E72"/>
    <w:rsid w:val="00877807"/>
    <w:rsid w:val="008813F9"/>
    <w:rsid w:val="00881EBB"/>
    <w:rsid w:val="008825E4"/>
    <w:rsid w:val="00882CE6"/>
    <w:rsid w:val="00886A5A"/>
    <w:rsid w:val="00887EBE"/>
    <w:rsid w:val="00891C85"/>
    <w:rsid w:val="008924AC"/>
    <w:rsid w:val="00892692"/>
    <w:rsid w:val="008963DB"/>
    <w:rsid w:val="008A1EFD"/>
    <w:rsid w:val="008A3638"/>
    <w:rsid w:val="008A724E"/>
    <w:rsid w:val="008A733C"/>
    <w:rsid w:val="008A77DB"/>
    <w:rsid w:val="008A7D12"/>
    <w:rsid w:val="008B1843"/>
    <w:rsid w:val="008B3BDE"/>
    <w:rsid w:val="008C0B72"/>
    <w:rsid w:val="008C1AF9"/>
    <w:rsid w:val="008C1F97"/>
    <w:rsid w:val="008D04E0"/>
    <w:rsid w:val="008D1A46"/>
    <w:rsid w:val="008D3C19"/>
    <w:rsid w:val="008D5F3D"/>
    <w:rsid w:val="008D66D0"/>
    <w:rsid w:val="008D7A63"/>
    <w:rsid w:val="008E01F6"/>
    <w:rsid w:val="008E2458"/>
    <w:rsid w:val="008E3979"/>
    <w:rsid w:val="008F145B"/>
    <w:rsid w:val="008F2CBC"/>
    <w:rsid w:val="008F6852"/>
    <w:rsid w:val="008F7FC6"/>
    <w:rsid w:val="009005A0"/>
    <w:rsid w:val="00900A12"/>
    <w:rsid w:val="009016CC"/>
    <w:rsid w:val="00901AA5"/>
    <w:rsid w:val="00904CEA"/>
    <w:rsid w:val="00904DF9"/>
    <w:rsid w:val="00914134"/>
    <w:rsid w:val="0091512E"/>
    <w:rsid w:val="009164B2"/>
    <w:rsid w:val="0091731E"/>
    <w:rsid w:val="009218E9"/>
    <w:rsid w:val="00922AD4"/>
    <w:rsid w:val="0092411C"/>
    <w:rsid w:val="00925CAB"/>
    <w:rsid w:val="009349E0"/>
    <w:rsid w:val="00940469"/>
    <w:rsid w:val="00944F07"/>
    <w:rsid w:val="00952848"/>
    <w:rsid w:val="00952C09"/>
    <w:rsid w:val="00953111"/>
    <w:rsid w:val="009563E7"/>
    <w:rsid w:val="00956931"/>
    <w:rsid w:val="009604E6"/>
    <w:rsid w:val="0096062C"/>
    <w:rsid w:val="00962030"/>
    <w:rsid w:val="00971311"/>
    <w:rsid w:val="0097583A"/>
    <w:rsid w:val="009761B9"/>
    <w:rsid w:val="009808AD"/>
    <w:rsid w:val="009911BA"/>
    <w:rsid w:val="00992811"/>
    <w:rsid w:val="00993732"/>
    <w:rsid w:val="009A0FEB"/>
    <w:rsid w:val="009A1E28"/>
    <w:rsid w:val="009A54F6"/>
    <w:rsid w:val="009A595A"/>
    <w:rsid w:val="009A62A8"/>
    <w:rsid w:val="009A78FE"/>
    <w:rsid w:val="009B0C6E"/>
    <w:rsid w:val="009B34B4"/>
    <w:rsid w:val="009B37BB"/>
    <w:rsid w:val="009B5233"/>
    <w:rsid w:val="009C06DB"/>
    <w:rsid w:val="009C0E7D"/>
    <w:rsid w:val="009C2030"/>
    <w:rsid w:val="009C3D75"/>
    <w:rsid w:val="009C6858"/>
    <w:rsid w:val="009D51B4"/>
    <w:rsid w:val="009E1955"/>
    <w:rsid w:val="009E595E"/>
    <w:rsid w:val="009E6BD8"/>
    <w:rsid w:val="009F08D0"/>
    <w:rsid w:val="009F1290"/>
    <w:rsid w:val="009F4677"/>
    <w:rsid w:val="009F5330"/>
    <w:rsid w:val="00A01382"/>
    <w:rsid w:val="00A01CDF"/>
    <w:rsid w:val="00A02930"/>
    <w:rsid w:val="00A0321A"/>
    <w:rsid w:val="00A05A88"/>
    <w:rsid w:val="00A124DB"/>
    <w:rsid w:val="00A13020"/>
    <w:rsid w:val="00A1315D"/>
    <w:rsid w:val="00A15BBF"/>
    <w:rsid w:val="00A1713D"/>
    <w:rsid w:val="00A20047"/>
    <w:rsid w:val="00A22D6D"/>
    <w:rsid w:val="00A23C83"/>
    <w:rsid w:val="00A24183"/>
    <w:rsid w:val="00A25A4B"/>
    <w:rsid w:val="00A365D1"/>
    <w:rsid w:val="00A416A3"/>
    <w:rsid w:val="00A41F51"/>
    <w:rsid w:val="00A437D6"/>
    <w:rsid w:val="00A455EB"/>
    <w:rsid w:val="00A542BE"/>
    <w:rsid w:val="00A61801"/>
    <w:rsid w:val="00A61B33"/>
    <w:rsid w:val="00A66152"/>
    <w:rsid w:val="00A67754"/>
    <w:rsid w:val="00A701B1"/>
    <w:rsid w:val="00A70311"/>
    <w:rsid w:val="00A82332"/>
    <w:rsid w:val="00A8631A"/>
    <w:rsid w:val="00A86EEF"/>
    <w:rsid w:val="00A90E7D"/>
    <w:rsid w:val="00A91E72"/>
    <w:rsid w:val="00A92EA4"/>
    <w:rsid w:val="00AA0047"/>
    <w:rsid w:val="00AA284A"/>
    <w:rsid w:val="00AA31FF"/>
    <w:rsid w:val="00AA5BEF"/>
    <w:rsid w:val="00AA5F72"/>
    <w:rsid w:val="00AB0A00"/>
    <w:rsid w:val="00AB3BA1"/>
    <w:rsid w:val="00AB5B37"/>
    <w:rsid w:val="00AB7B31"/>
    <w:rsid w:val="00AC390A"/>
    <w:rsid w:val="00AC5E0C"/>
    <w:rsid w:val="00AC6CA7"/>
    <w:rsid w:val="00AD20B4"/>
    <w:rsid w:val="00AD335E"/>
    <w:rsid w:val="00AE2122"/>
    <w:rsid w:val="00AE37B9"/>
    <w:rsid w:val="00AE4C92"/>
    <w:rsid w:val="00AE6C7E"/>
    <w:rsid w:val="00AF4ED7"/>
    <w:rsid w:val="00AF7BEE"/>
    <w:rsid w:val="00B037FD"/>
    <w:rsid w:val="00B03F4D"/>
    <w:rsid w:val="00B03F53"/>
    <w:rsid w:val="00B0472E"/>
    <w:rsid w:val="00B0598D"/>
    <w:rsid w:val="00B1775E"/>
    <w:rsid w:val="00B207D0"/>
    <w:rsid w:val="00B22910"/>
    <w:rsid w:val="00B2492D"/>
    <w:rsid w:val="00B24FA4"/>
    <w:rsid w:val="00B301A5"/>
    <w:rsid w:val="00B334EC"/>
    <w:rsid w:val="00B34063"/>
    <w:rsid w:val="00B37565"/>
    <w:rsid w:val="00B46721"/>
    <w:rsid w:val="00B47FA9"/>
    <w:rsid w:val="00B50E7F"/>
    <w:rsid w:val="00B571B9"/>
    <w:rsid w:val="00B604E0"/>
    <w:rsid w:val="00B60616"/>
    <w:rsid w:val="00B60BA6"/>
    <w:rsid w:val="00B64AAF"/>
    <w:rsid w:val="00B6550B"/>
    <w:rsid w:val="00B6613B"/>
    <w:rsid w:val="00B66FCD"/>
    <w:rsid w:val="00B7520C"/>
    <w:rsid w:val="00B75B2B"/>
    <w:rsid w:val="00B76184"/>
    <w:rsid w:val="00B761D6"/>
    <w:rsid w:val="00B813B3"/>
    <w:rsid w:val="00B847B7"/>
    <w:rsid w:val="00B869CF"/>
    <w:rsid w:val="00B87A87"/>
    <w:rsid w:val="00B93520"/>
    <w:rsid w:val="00BA12A7"/>
    <w:rsid w:val="00BA3BDE"/>
    <w:rsid w:val="00BB140A"/>
    <w:rsid w:val="00BB2A2D"/>
    <w:rsid w:val="00BB52A4"/>
    <w:rsid w:val="00BC48A3"/>
    <w:rsid w:val="00BD16C1"/>
    <w:rsid w:val="00BD2ADD"/>
    <w:rsid w:val="00BD3688"/>
    <w:rsid w:val="00BD3B25"/>
    <w:rsid w:val="00BD4B8B"/>
    <w:rsid w:val="00BD69DD"/>
    <w:rsid w:val="00BD77AE"/>
    <w:rsid w:val="00BE0F04"/>
    <w:rsid w:val="00BE2797"/>
    <w:rsid w:val="00BF34FD"/>
    <w:rsid w:val="00BF77F5"/>
    <w:rsid w:val="00C12F8F"/>
    <w:rsid w:val="00C169D5"/>
    <w:rsid w:val="00C16A5D"/>
    <w:rsid w:val="00C16B0A"/>
    <w:rsid w:val="00C17E09"/>
    <w:rsid w:val="00C242CD"/>
    <w:rsid w:val="00C27099"/>
    <w:rsid w:val="00C30A13"/>
    <w:rsid w:val="00C415FF"/>
    <w:rsid w:val="00C50BB2"/>
    <w:rsid w:val="00C514B4"/>
    <w:rsid w:val="00C52030"/>
    <w:rsid w:val="00C547B4"/>
    <w:rsid w:val="00C62B12"/>
    <w:rsid w:val="00C62BE5"/>
    <w:rsid w:val="00C64784"/>
    <w:rsid w:val="00C65847"/>
    <w:rsid w:val="00C66C25"/>
    <w:rsid w:val="00C715B3"/>
    <w:rsid w:val="00C761C0"/>
    <w:rsid w:val="00C76810"/>
    <w:rsid w:val="00C80315"/>
    <w:rsid w:val="00C8138B"/>
    <w:rsid w:val="00C82946"/>
    <w:rsid w:val="00C83119"/>
    <w:rsid w:val="00C901D9"/>
    <w:rsid w:val="00C931B5"/>
    <w:rsid w:val="00C931EA"/>
    <w:rsid w:val="00C93C42"/>
    <w:rsid w:val="00C94918"/>
    <w:rsid w:val="00C95AA5"/>
    <w:rsid w:val="00C9624D"/>
    <w:rsid w:val="00C972E7"/>
    <w:rsid w:val="00CA3C98"/>
    <w:rsid w:val="00CB1243"/>
    <w:rsid w:val="00CB1F05"/>
    <w:rsid w:val="00CB7D26"/>
    <w:rsid w:val="00CC1B99"/>
    <w:rsid w:val="00CC3FC8"/>
    <w:rsid w:val="00CC4A76"/>
    <w:rsid w:val="00CC5F8D"/>
    <w:rsid w:val="00CC6238"/>
    <w:rsid w:val="00CC6F7F"/>
    <w:rsid w:val="00CD23EF"/>
    <w:rsid w:val="00CD2B86"/>
    <w:rsid w:val="00CD7338"/>
    <w:rsid w:val="00CD7CC4"/>
    <w:rsid w:val="00CE1369"/>
    <w:rsid w:val="00CE1877"/>
    <w:rsid w:val="00CE34A4"/>
    <w:rsid w:val="00CE64CA"/>
    <w:rsid w:val="00CE6747"/>
    <w:rsid w:val="00CF1BFA"/>
    <w:rsid w:val="00CF27AC"/>
    <w:rsid w:val="00CF4B42"/>
    <w:rsid w:val="00CF4EF1"/>
    <w:rsid w:val="00CF61B9"/>
    <w:rsid w:val="00D11FF7"/>
    <w:rsid w:val="00D15FEB"/>
    <w:rsid w:val="00D20EB2"/>
    <w:rsid w:val="00D258A1"/>
    <w:rsid w:val="00D26E59"/>
    <w:rsid w:val="00D2742A"/>
    <w:rsid w:val="00D34F34"/>
    <w:rsid w:val="00D37075"/>
    <w:rsid w:val="00D41EC4"/>
    <w:rsid w:val="00D46B7A"/>
    <w:rsid w:val="00D4788A"/>
    <w:rsid w:val="00D50ACB"/>
    <w:rsid w:val="00D51E49"/>
    <w:rsid w:val="00D524ED"/>
    <w:rsid w:val="00D52CA3"/>
    <w:rsid w:val="00D56458"/>
    <w:rsid w:val="00D577A3"/>
    <w:rsid w:val="00D5792C"/>
    <w:rsid w:val="00D57F9A"/>
    <w:rsid w:val="00D6037A"/>
    <w:rsid w:val="00D61FA1"/>
    <w:rsid w:val="00D632A0"/>
    <w:rsid w:val="00D639CB"/>
    <w:rsid w:val="00D640DB"/>
    <w:rsid w:val="00D642C9"/>
    <w:rsid w:val="00D66EA5"/>
    <w:rsid w:val="00D715B4"/>
    <w:rsid w:val="00D72008"/>
    <w:rsid w:val="00D72145"/>
    <w:rsid w:val="00D7530D"/>
    <w:rsid w:val="00D764A6"/>
    <w:rsid w:val="00D77D4F"/>
    <w:rsid w:val="00D83294"/>
    <w:rsid w:val="00D86B36"/>
    <w:rsid w:val="00D92A3C"/>
    <w:rsid w:val="00D93303"/>
    <w:rsid w:val="00DA0501"/>
    <w:rsid w:val="00DA1A6D"/>
    <w:rsid w:val="00DA24F8"/>
    <w:rsid w:val="00DA3469"/>
    <w:rsid w:val="00DA4121"/>
    <w:rsid w:val="00DA5B01"/>
    <w:rsid w:val="00DB1318"/>
    <w:rsid w:val="00DB3F1D"/>
    <w:rsid w:val="00DB3FC1"/>
    <w:rsid w:val="00DB4D84"/>
    <w:rsid w:val="00DB7C6C"/>
    <w:rsid w:val="00DC0D01"/>
    <w:rsid w:val="00DC2E41"/>
    <w:rsid w:val="00DC3573"/>
    <w:rsid w:val="00DC4236"/>
    <w:rsid w:val="00DC5130"/>
    <w:rsid w:val="00DC5B81"/>
    <w:rsid w:val="00DC6722"/>
    <w:rsid w:val="00DD1F26"/>
    <w:rsid w:val="00DD2947"/>
    <w:rsid w:val="00DD2ECA"/>
    <w:rsid w:val="00DD62C8"/>
    <w:rsid w:val="00DD7053"/>
    <w:rsid w:val="00DE1B37"/>
    <w:rsid w:val="00DE2FBA"/>
    <w:rsid w:val="00DE48EF"/>
    <w:rsid w:val="00DE60F1"/>
    <w:rsid w:val="00E017E1"/>
    <w:rsid w:val="00E01F4D"/>
    <w:rsid w:val="00E02702"/>
    <w:rsid w:val="00E02C8D"/>
    <w:rsid w:val="00E038E8"/>
    <w:rsid w:val="00E04535"/>
    <w:rsid w:val="00E06FC6"/>
    <w:rsid w:val="00E10050"/>
    <w:rsid w:val="00E23B46"/>
    <w:rsid w:val="00E24838"/>
    <w:rsid w:val="00E274A4"/>
    <w:rsid w:val="00E3098C"/>
    <w:rsid w:val="00E3161A"/>
    <w:rsid w:val="00E31A0C"/>
    <w:rsid w:val="00E31FF1"/>
    <w:rsid w:val="00E40723"/>
    <w:rsid w:val="00E40E8E"/>
    <w:rsid w:val="00E42225"/>
    <w:rsid w:val="00E45A24"/>
    <w:rsid w:val="00E52E61"/>
    <w:rsid w:val="00E53248"/>
    <w:rsid w:val="00E53487"/>
    <w:rsid w:val="00E611FD"/>
    <w:rsid w:val="00E63835"/>
    <w:rsid w:val="00E6454C"/>
    <w:rsid w:val="00E64A17"/>
    <w:rsid w:val="00E665C3"/>
    <w:rsid w:val="00E66B95"/>
    <w:rsid w:val="00E74190"/>
    <w:rsid w:val="00E76F7E"/>
    <w:rsid w:val="00E774E7"/>
    <w:rsid w:val="00E83901"/>
    <w:rsid w:val="00E83DBA"/>
    <w:rsid w:val="00E85CE6"/>
    <w:rsid w:val="00E91B50"/>
    <w:rsid w:val="00E96085"/>
    <w:rsid w:val="00E97919"/>
    <w:rsid w:val="00E97FAE"/>
    <w:rsid w:val="00EA0ECA"/>
    <w:rsid w:val="00EA1D98"/>
    <w:rsid w:val="00EA24E9"/>
    <w:rsid w:val="00EA2D46"/>
    <w:rsid w:val="00EA2EB1"/>
    <w:rsid w:val="00EA4802"/>
    <w:rsid w:val="00EB6CC1"/>
    <w:rsid w:val="00EB7BDB"/>
    <w:rsid w:val="00EC1836"/>
    <w:rsid w:val="00EC20AA"/>
    <w:rsid w:val="00EC27C5"/>
    <w:rsid w:val="00EC35C8"/>
    <w:rsid w:val="00EC41CD"/>
    <w:rsid w:val="00EC4C65"/>
    <w:rsid w:val="00ED0B5A"/>
    <w:rsid w:val="00ED1AC0"/>
    <w:rsid w:val="00ED37EA"/>
    <w:rsid w:val="00ED6A25"/>
    <w:rsid w:val="00ED7D33"/>
    <w:rsid w:val="00EE0192"/>
    <w:rsid w:val="00EE1B17"/>
    <w:rsid w:val="00EE1CFF"/>
    <w:rsid w:val="00EE6C88"/>
    <w:rsid w:val="00EE6F8A"/>
    <w:rsid w:val="00EF1F36"/>
    <w:rsid w:val="00EF24C0"/>
    <w:rsid w:val="00EF2C5F"/>
    <w:rsid w:val="00EF5CF4"/>
    <w:rsid w:val="00EF7C5E"/>
    <w:rsid w:val="00F0326C"/>
    <w:rsid w:val="00F03C19"/>
    <w:rsid w:val="00F048BA"/>
    <w:rsid w:val="00F056E2"/>
    <w:rsid w:val="00F069A0"/>
    <w:rsid w:val="00F11BFC"/>
    <w:rsid w:val="00F14CA1"/>
    <w:rsid w:val="00F17AEA"/>
    <w:rsid w:val="00F23FE9"/>
    <w:rsid w:val="00F25B98"/>
    <w:rsid w:val="00F25E72"/>
    <w:rsid w:val="00F30382"/>
    <w:rsid w:val="00F30B61"/>
    <w:rsid w:val="00F314E5"/>
    <w:rsid w:val="00F333E8"/>
    <w:rsid w:val="00F44257"/>
    <w:rsid w:val="00F47137"/>
    <w:rsid w:val="00F52C8C"/>
    <w:rsid w:val="00F5733E"/>
    <w:rsid w:val="00F57976"/>
    <w:rsid w:val="00F60380"/>
    <w:rsid w:val="00F63FE8"/>
    <w:rsid w:val="00F6639C"/>
    <w:rsid w:val="00F668CC"/>
    <w:rsid w:val="00F7175B"/>
    <w:rsid w:val="00F72A0D"/>
    <w:rsid w:val="00F74B8A"/>
    <w:rsid w:val="00F8089B"/>
    <w:rsid w:val="00F82777"/>
    <w:rsid w:val="00F84B63"/>
    <w:rsid w:val="00F86A83"/>
    <w:rsid w:val="00F87D46"/>
    <w:rsid w:val="00F926B3"/>
    <w:rsid w:val="00FA40F6"/>
    <w:rsid w:val="00FA65D4"/>
    <w:rsid w:val="00FB0DAC"/>
    <w:rsid w:val="00FB1C2E"/>
    <w:rsid w:val="00FB583E"/>
    <w:rsid w:val="00FB5D2F"/>
    <w:rsid w:val="00FB7130"/>
    <w:rsid w:val="00FC0FC3"/>
    <w:rsid w:val="00FC6C7F"/>
    <w:rsid w:val="00FC74DE"/>
    <w:rsid w:val="00FC7CC4"/>
    <w:rsid w:val="00FD355B"/>
    <w:rsid w:val="00FD64F9"/>
    <w:rsid w:val="00FE3295"/>
    <w:rsid w:val="00FE608E"/>
    <w:rsid w:val="00FF0569"/>
    <w:rsid w:val="00FF1858"/>
    <w:rsid w:val="00FF19C6"/>
    <w:rsid w:val="00FF3391"/>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docId w15:val="{883BDC6F-6CE6-430F-8AFB-DA09122D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64199D"/>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A4019"/>
    <w:rPr>
      <w:sz w:val="24"/>
      <w:lang w:eastAsia="en-US"/>
    </w:rPr>
  </w:style>
  <w:style w:type="paragraph" w:styleId="BalloonText">
    <w:name w:val="Balloon Text"/>
    <w:basedOn w:val="Normal"/>
    <w:link w:val="BalloonTextChar"/>
    <w:semiHidden/>
    <w:unhideWhenUsed/>
    <w:rsid w:val="00CE1877"/>
    <w:rPr>
      <w:rFonts w:ascii="Segoe UI" w:hAnsi="Segoe UI" w:cs="Segoe UI"/>
      <w:sz w:val="18"/>
      <w:szCs w:val="18"/>
    </w:rPr>
  </w:style>
  <w:style w:type="character" w:customStyle="1" w:styleId="BalloonTextChar">
    <w:name w:val="Balloon Text Char"/>
    <w:basedOn w:val="DefaultParagraphFont"/>
    <w:link w:val="BalloonText"/>
    <w:semiHidden/>
    <w:rsid w:val="00CE1877"/>
    <w:rPr>
      <w:rFonts w:ascii="Segoe UI" w:hAnsi="Segoe UI" w:cs="Segoe UI"/>
      <w:sz w:val="18"/>
      <w:szCs w:val="18"/>
      <w:lang w:eastAsia="en-US"/>
    </w:rPr>
  </w:style>
  <w:style w:type="paragraph" w:styleId="ListParagraph">
    <w:name w:val="List Paragraph"/>
    <w:basedOn w:val="Normal"/>
    <w:uiPriority w:val="34"/>
    <w:qFormat/>
    <w:rsid w:val="00434BCF"/>
    <w:pPr>
      <w:ind w:left="720"/>
      <w:contextualSpacing/>
    </w:pPr>
  </w:style>
  <w:style w:type="table" w:customStyle="1" w:styleId="TableGrid1">
    <w:name w:val="Table Grid1"/>
    <w:basedOn w:val="TableNormal"/>
    <w:next w:val="TableGrid"/>
    <w:uiPriority w:val="59"/>
    <w:rsid w:val="00525E8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5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576">
      <w:bodyDiv w:val="1"/>
      <w:marLeft w:val="0"/>
      <w:marRight w:val="0"/>
      <w:marTop w:val="0"/>
      <w:marBottom w:val="0"/>
      <w:divBdr>
        <w:top w:val="none" w:sz="0" w:space="0" w:color="auto"/>
        <w:left w:val="none" w:sz="0" w:space="0" w:color="auto"/>
        <w:bottom w:val="none" w:sz="0" w:space="0" w:color="auto"/>
        <w:right w:val="none" w:sz="0" w:space="0" w:color="auto"/>
      </w:divBdr>
    </w:div>
    <w:div w:id="86124362">
      <w:bodyDiv w:val="1"/>
      <w:marLeft w:val="0"/>
      <w:marRight w:val="0"/>
      <w:marTop w:val="0"/>
      <w:marBottom w:val="0"/>
      <w:divBdr>
        <w:top w:val="none" w:sz="0" w:space="0" w:color="auto"/>
        <w:left w:val="none" w:sz="0" w:space="0" w:color="auto"/>
        <w:bottom w:val="none" w:sz="0" w:space="0" w:color="auto"/>
        <w:right w:val="none" w:sz="0" w:space="0" w:color="auto"/>
      </w:divBdr>
    </w:div>
    <w:div w:id="105782504">
      <w:bodyDiv w:val="1"/>
      <w:marLeft w:val="0"/>
      <w:marRight w:val="0"/>
      <w:marTop w:val="0"/>
      <w:marBottom w:val="0"/>
      <w:divBdr>
        <w:top w:val="none" w:sz="0" w:space="0" w:color="auto"/>
        <w:left w:val="none" w:sz="0" w:space="0" w:color="auto"/>
        <w:bottom w:val="none" w:sz="0" w:space="0" w:color="auto"/>
        <w:right w:val="none" w:sz="0" w:space="0" w:color="auto"/>
      </w:divBdr>
    </w:div>
    <w:div w:id="118228829">
      <w:bodyDiv w:val="1"/>
      <w:marLeft w:val="0"/>
      <w:marRight w:val="0"/>
      <w:marTop w:val="0"/>
      <w:marBottom w:val="0"/>
      <w:divBdr>
        <w:top w:val="none" w:sz="0" w:space="0" w:color="auto"/>
        <w:left w:val="none" w:sz="0" w:space="0" w:color="auto"/>
        <w:bottom w:val="none" w:sz="0" w:space="0" w:color="auto"/>
        <w:right w:val="none" w:sz="0" w:space="0" w:color="auto"/>
      </w:divBdr>
    </w:div>
    <w:div w:id="268707435">
      <w:bodyDiv w:val="1"/>
      <w:marLeft w:val="0"/>
      <w:marRight w:val="0"/>
      <w:marTop w:val="0"/>
      <w:marBottom w:val="0"/>
      <w:divBdr>
        <w:top w:val="none" w:sz="0" w:space="0" w:color="auto"/>
        <w:left w:val="none" w:sz="0" w:space="0" w:color="auto"/>
        <w:bottom w:val="none" w:sz="0" w:space="0" w:color="auto"/>
        <w:right w:val="none" w:sz="0" w:space="0" w:color="auto"/>
      </w:divBdr>
    </w:div>
    <w:div w:id="349647116">
      <w:bodyDiv w:val="1"/>
      <w:marLeft w:val="0"/>
      <w:marRight w:val="0"/>
      <w:marTop w:val="0"/>
      <w:marBottom w:val="0"/>
      <w:divBdr>
        <w:top w:val="none" w:sz="0" w:space="0" w:color="auto"/>
        <w:left w:val="none" w:sz="0" w:space="0" w:color="auto"/>
        <w:bottom w:val="none" w:sz="0" w:space="0" w:color="auto"/>
        <w:right w:val="none" w:sz="0" w:space="0" w:color="auto"/>
      </w:divBdr>
    </w:div>
    <w:div w:id="452554926">
      <w:bodyDiv w:val="1"/>
      <w:marLeft w:val="0"/>
      <w:marRight w:val="0"/>
      <w:marTop w:val="0"/>
      <w:marBottom w:val="0"/>
      <w:divBdr>
        <w:top w:val="none" w:sz="0" w:space="0" w:color="auto"/>
        <w:left w:val="none" w:sz="0" w:space="0" w:color="auto"/>
        <w:bottom w:val="none" w:sz="0" w:space="0" w:color="auto"/>
        <w:right w:val="none" w:sz="0" w:space="0" w:color="auto"/>
      </w:divBdr>
    </w:div>
    <w:div w:id="497309393">
      <w:bodyDiv w:val="1"/>
      <w:marLeft w:val="0"/>
      <w:marRight w:val="0"/>
      <w:marTop w:val="0"/>
      <w:marBottom w:val="0"/>
      <w:divBdr>
        <w:top w:val="none" w:sz="0" w:space="0" w:color="auto"/>
        <w:left w:val="none" w:sz="0" w:space="0" w:color="auto"/>
        <w:bottom w:val="none" w:sz="0" w:space="0" w:color="auto"/>
        <w:right w:val="none" w:sz="0" w:space="0" w:color="auto"/>
      </w:divBdr>
    </w:div>
    <w:div w:id="539047639">
      <w:bodyDiv w:val="1"/>
      <w:marLeft w:val="0"/>
      <w:marRight w:val="0"/>
      <w:marTop w:val="0"/>
      <w:marBottom w:val="0"/>
      <w:divBdr>
        <w:top w:val="none" w:sz="0" w:space="0" w:color="auto"/>
        <w:left w:val="none" w:sz="0" w:space="0" w:color="auto"/>
        <w:bottom w:val="none" w:sz="0" w:space="0" w:color="auto"/>
        <w:right w:val="none" w:sz="0" w:space="0" w:color="auto"/>
      </w:divBdr>
    </w:div>
    <w:div w:id="642007121">
      <w:bodyDiv w:val="1"/>
      <w:marLeft w:val="0"/>
      <w:marRight w:val="0"/>
      <w:marTop w:val="0"/>
      <w:marBottom w:val="0"/>
      <w:divBdr>
        <w:top w:val="none" w:sz="0" w:space="0" w:color="auto"/>
        <w:left w:val="none" w:sz="0" w:space="0" w:color="auto"/>
        <w:bottom w:val="none" w:sz="0" w:space="0" w:color="auto"/>
        <w:right w:val="none" w:sz="0" w:space="0" w:color="auto"/>
      </w:divBdr>
    </w:div>
    <w:div w:id="731196617">
      <w:bodyDiv w:val="1"/>
      <w:marLeft w:val="0"/>
      <w:marRight w:val="0"/>
      <w:marTop w:val="0"/>
      <w:marBottom w:val="0"/>
      <w:divBdr>
        <w:top w:val="none" w:sz="0" w:space="0" w:color="auto"/>
        <w:left w:val="none" w:sz="0" w:space="0" w:color="auto"/>
        <w:bottom w:val="none" w:sz="0" w:space="0" w:color="auto"/>
        <w:right w:val="none" w:sz="0" w:space="0" w:color="auto"/>
      </w:divBdr>
    </w:div>
    <w:div w:id="786050014">
      <w:bodyDiv w:val="1"/>
      <w:marLeft w:val="0"/>
      <w:marRight w:val="0"/>
      <w:marTop w:val="0"/>
      <w:marBottom w:val="0"/>
      <w:divBdr>
        <w:top w:val="none" w:sz="0" w:space="0" w:color="auto"/>
        <w:left w:val="none" w:sz="0" w:space="0" w:color="auto"/>
        <w:bottom w:val="none" w:sz="0" w:space="0" w:color="auto"/>
        <w:right w:val="none" w:sz="0" w:space="0" w:color="auto"/>
      </w:divBdr>
    </w:div>
    <w:div w:id="813715526">
      <w:bodyDiv w:val="1"/>
      <w:marLeft w:val="0"/>
      <w:marRight w:val="0"/>
      <w:marTop w:val="0"/>
      <w:marBottom w:val="0"/>
      <w:divBdr>
        <w:top w:val="none" w:sz="0" w:space="0" w:color="auto"/>
        <w:left w:val="none" w:sz="0" w:space="0" w:color="auto"/>
        <w:bottom w:val="none" w:sz="0" w:space="0" w:color="auto"/>
        <w:right w:val="none" w:sz="0" w:space="0" w:color="auto"/>
      </w:divBdr>
    </w:div>
    <w:div w:id="861893914">
      <w:bodyDiv w:val="1"/>
      <w:marLeft w:val="0"/>
      <w:marRight w:val="0"/>
      <w:marTop w:val="0"/>
      <w:marBottom w:val="0"/>
      <w:divBdr>
        <w:top w:val="none" w:sz="0" w:space="0" w:color="auto"/>
        <w:left w:val="none" w:sz="0" w:space="0" w:color="auto"/>
        <w:bottom w:val="none" w:sz="0" w:space="0" w:color="auto"/>
        <w:right w:val="none" w:sz="0" w:space="0" w:color="auto"/>
      </w:divBdr>
    </w:div>
    <w:div w:id="949973985">
      <w:bodyDiv w:val="1"/>
      <w:marLeft w:val="0"/>
      <w:marRight w:val="0"/>
      <w:marTop w:val="0"/>
      <w:marBottom w:val="0"/>
      <w:divBdr>
        <w:top w:val="none" w:sz="0" w:space="0" w:color="auto"/>
        <w:left w:val="none" w:sz="0" w:space="0" w:color="auto"/>
        <w:bottom w:val="none" w:sz="0" w:space="0" w:color="auto"/>
        <w:right w:val="none" w:sz="0" w:space="0" w:color="auto"/>
      </w:divBdr>
    </w:div>
    <w:div w:id="1049960948">
      <w:bodyDiv w:val="1"/>
      <w:marLeft w:val="0"/>
      <w:marRight w:val="0"/>
      <w:marTop w:val="0"/>
      <w:marBottom w:val="0"/>
      <w:divBdr>
        <w:top w:val="none" w:sz="0" w:space="0" w:color="auto"/>
        <w:left w:val="none" w:sz="0" w:space="0" w:color="auto"/>
        <w:bottom w:val="none" w:sz="0" w:space="0" w:color="auto"/>
        <w:right w:val="none" w:sz="0" w:space="0" w:color="auto"/>
      </w:divBdr>
    </w:div>
    <w:div w:id="1065185884">
      <w:bodyDiv w:val="1"/>
      <w:marLeft w:val="0"/>
      <w:marRight w:val="0"/>
      <w:marTop w:val="0"/>
      <w:marBottom w:val="0"/>
      <w:divBdr>
        <w:top w:val="none" w:sz="0" w:space="0" w:color="auto"/>
        <w:left w:val="none" w:sz="0" w:space="0" w:color="auto"/>
        <w:bottom w:val="none" w:sz="0" w:space="0" w:color="auto"/>
        <w:right w:val="none" w:sz="0" w:space="0" w:color="auto"/>
      </w:divBdr>
    </w:div>
    <w:div w:id="1311666928">
      <w:bodyDiv w:val="1"/>
      <w:marLeft w:val="0"/>
      <w:marRight w:val="0"/>
      <w:marTop w:val="0"/>
      <w:marBottom w:val="0"/>
      <w:divBdr>
        <w:top w:val="none" w:sz="0" w:space="0" w:color="auto"/>
        <w:left w:val="none" w:sz="0" w:space="0" w:color="auto"/>
        <w:bottom w:val="none" w:sz="0" w:space="0" w:color="auto"/>
        <w:right w:val="none" w:sz="0" w:space="0" w:color="auto"/>
      </w:divBdr>
    </w:div>
    <w:div w:id="1530024253">
      <w:bodyDiv w:val="1"/>
      <w:marLeft w:val="0"/>
      <w:marRight w:val="0"/>
      <w:marTop w:val="0"/>
      <w:marBottom w:val="0"/>
      <w:divBdr>
        <w:top w:val="none" w:sz="0" w:space="0" w:color="auto"/>
        <w:left w:val="none" w:sz="0" w:space="0" w:color="auto"/>
        <w:bottom w:val="none" w:sz="0" w:space="0" w:color="auto"/>
        <w:right w:val="none" w:sz="0" w:space="0" w:color="auto"/>
      </w:divBdr>
    </w:div>
    <w:div w:id="1655838681">
      <w:bodyDiv w:val="1"/>
      <w:marLeft w:val="0"/>
      <w:marRight w:val="0"/>
      <w:marTop w:val="0"/>
      <w:marBottom w:val="0"/>
      <w:divBdr>
        <w:top w:val="none" w:sz="0" w:space="0" w:color="auto"/>
        <w:left w:val="none" w:sz="0" w:space="0" w:color="auto"/>
        <w:bottom w:val="none" w:sz="0" w:space="0" w:color="auto"/>
        <w:right w:val="none" w:sz="0" w:space="0" w:color="auto"/>
      </w:divBdr>
    </w:div>
    <w:div w:id="1687558608">
      <w:bodyDiv w:val="1"/>
      <w:marLeft w:val="0"/>
      <w:marRight w:val="0"/>
      <w:marTop w:val="0"/>
      <w:marBottom w:val="0"/>
      <w:divBdr>
        <w:top w:val="none" w:sz="0" w:space="0" w:color="auto"/>
        <w:left w:val="none" w:sz="0" w:space="0" w:color="auto"/>
        <w:bottom w:val="none" w:sz="0" w:space="0" w:color="auto"/>
        <w:right w:val="none" w:sz="0" w:space="0" w:color="auto"/>
      </w:divBdr>
    </w:div>
    <w:div w:id="1741363972">
      <w:bodyDiv w:val="1"/>
      <w:marLeft w:val="0"/>
      <w:marRight w:val="0"/>
      <w:marTop w:val="0"/>
      <w:marBottom w:val="0"/>
      <w:divBdr>
        <w:top w:val="none" w:sz="0" w:space="0" w:color="auto"/>
        <w:left w:val="none" w:sz="0" w:space="0" w:color="auto"/>
        <w:bottom w:val="none" w:sz="0" w:space="0" w:color="auto"/>
        <w:right w:val="none" w:sz="0" w:space="0" w:color="auto"/>
      </w:divBdr>
    </w:div>
    <w:div w:id="1782069387">
      <w:bodyDiv w:val="1"/>
      <w:marLeft w:val="0"/>
      <w:marRight w:val="0"/>
      <w:marTop w:val="0"/>
      <w:marBottom w:val="0"/>
      <w:divBdr>
        <w:top w:val="none" w:sz="0" w:space="0" w:color="auto"/>
        <w:left w:val="none" w:sz="0" w:space="0" w:color="auto"/>
        <w:bottom w:val="none" w:sz="0" w:space="0" w:color="auto"/>
        <w:right w:val="none" w:sz="0" w:space="0" w:color="auto"/>
      </w:divBdr>
    </w:div>
    <w:div w:id="1839078879">
      <w:bodyDiv w:val="1"/>
      <w:marLeft w:val="0"/>
      <w:marRight w:val="0"/>
      <w:marTop w:val="0"/>
      <w:marBottom w:val="0"/>
      <w:divBdr>
        <w:top w:val="none" w:sz="0" w:space="0" w:color="auto"/>
        <w:left w:val="none" w:sz="0" w:space="0" w:color="auto"/>
        <w:bottom w:val="none" w:sz="0" w:space="0" w:color="auto"/>
        <w:right w:val="none" w:sz="0" w:space="0" w:color="auto"/>
      </w:divBdr>
    </w:div>
    <w:div w:id="1865437944">
      <w:bodyDiv w:val="1"/>
      <w:marLeft w:val="0"/>
      <w:marRight w:val="0"/>
      <w:marTop w:val="0"/>
      <w:marBottom w:val="0"/>
      <w:divBdr>
        <w:top w:val="none" w:sz="0" w:space="0" w:color="auto"/>
        <w:left w:val="none" w:sz="0" w:space="0" w:color="auto"/>
        <w:bottom w:val="none" w:sz="0" w:space="0" w:color="auto"/>
        <w:right w:val="none" w:sz="0" w:space="0" w:color="auto"/>
      </w:divBdr>
    </w:div>
    <w:div w:id="1892617526">
      <w:bodyDiv w:val="1"/>
      <w:marLeft w:val="0"/>
      <w:marRight w:val="0"/>
      <w:marTop w:val="0"/>
      <w:marBottom w:val="0"/>
      <w:divBdr>
        <w:top w:val="none" w:sz="0" w:space="0" w:color="auto"/>
        <w:left w:val="none" w:sz="0" w:space="0" w:color="auto"/>
        <w:bottom w:val="none" w:sz="0" w:space="0" w:color="auto"/>
        <w:right w:val="none" w:sz="0" w:space="0" w:color="auto"/>
      </w:divBdr>
    </w:div>
    <w:div w:id="1990555888">
      <w:bodyDiv w:val="1"/>
      <w:marLeft w:val="0"/>
      <w:marRight w:val="0"/>
      <w:marTop w:val="0"/>
      <w:marBottom w:val="0"/>
      <w:divBdr>
        <w:top w:val="none" w:sz="0" w:space="0" w:color="auto"/>
        <w:left w:val="none" w:sz="0" w:space="0" w:color="auto"/>
        <w:bottom w:val="none" w:sz="0" w:space="0" w:color="auto"/>
        <w:right w:val="none" w:sz="0" w:space="0" w:color="auto"/>
      </w:divBdr>
    </w:div>
    <w:div w:id="2037609750">
      <w:bodyDiv w:val="1"/>
      <w:marLeft w:val="0"/>
      <w:marRight w:val="0"/>
      <w:marTop w:val="0"/>
      <w:marBottom w:val="0"/>
      <w:divBdr>
        <w:top w:val="none" w:sz="0" w:space="0" w:color="auto"/>
        <w:left w:val="none" w:sz="0" w:space="0" w:color="auto"/>
        <w:bottom w:val="none" w:sz="0" w:space="0" w:color="auto"/>
        <w:right w:val="none" w:sz="0" w:space="0" w:color="auto"/>
      </w:divBdr>
    </w:div>
    <w:div w:id="2037925902">
      <w:bodyDiv w:val="1"/>
      <w:marLeft w:val="0"/>
      <w:marRight w:val="0"/>
      <w:marTop w:val="0"/>
      <w:marBottom w:val="0"/>
      <w:divBdr>
        <w:top w:val="none" w:sz="0" w:space="0" w:color="auto"/>
        <w:left w:val="none" w:sz="0" w:space="0" w:color="auto"/>
        <w:bottom w:val="none" w:sz="0" w:space="0" w:color="auto"/>
        <w:right w:val="none" w:sz="0" w:space="0" w:color="auto"/>
      </w:divBdr>
    </w:div>
    <w:div w:id="2055621069">
      <w:bodyDiv w:val="1"/>
      <w:marLeft w:val="0"/>
      <w:marRight w:val="0"/>
      <w:marTop w:val="0"/>
      <w:marBottom w:val="0"/>
      <w:divBdr>
        <w:top w:val="none" w:sz="0" w:space="0" w:color="auto"/>
        <w:left w:val="none" w:sz="0" w:space="0" w:color="auto"/>
        <w:bottom w:val="none" w:sz="0" w:space="0" w:color="auto"/>
        <w:right w:val="none" w:sz="0" w:space="0" w:color="auto"/>
      </w:divBdr>
    </w:div>
    <w:div w:id="2084330084">
      <w:bodyDiv w:val="1"/>
      <w:marLeft w:val="0"/>
      <w:marRight w:val="0"/>
      <w:marTop w:val="0"/>
      <w:marBottom w:val="0"/>
      <w:divBdr>
        <w:top w:val="none" w:sz="0" w:space="0" w:color="auto"/>
        <w:left w:val="none" w:sz="0" w:space="0" w:color="auto"/>
        <w:bottom w:val="none" w:sz="0" w:space="0" w:color="auto"/>
        <w:right w:val="none" w:sz="0" w:space="0" w:color="auto"/>
      </w:divBdr>
    </w:div>
    <w:div w:id="20969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4919</Words>
  <Characters>28229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Gabriella Wright</cp:lastModifiedBy>
  <cp:revision>2</cp:revision>
  <cp:lastPrinted>2019-05-28T11:57:00Z</cp:lastPrinted>
  <dcterms:created xsi:type="dcterms:W3CDTF">2021-06-17T07:14:00Z</dcterms:created>
  <dcterms:modified xsi:type="dcterms:W3CDTF">2021-06-17T07:14:00Z</dcterms:modified>
</cp:coreProperties>
</file>